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440"/>
        <w:gridCol w:w="2520"/>
      </w:tblGrid>
      <w:tr w:rsidR="00E06A20" w:rsidTr="004417AC">
        <w:trPr>
          <w:trHeight w:val="1440"/>
        </w:trPr>
        <w:tc>
          <w:tcPr>
            <w:tcW w:w="1440" w:type="dxa"/>
            <w:tcBorders>
              <w:right w:val="single" w:sz="4" w:space="0" w:color="FFFFFF"/>
            </w:tcBorders>
            <w:shd w:val="clear" w:color="auto" w:fill="00B050"/>
          </w:tcPr>
          <w:p w:rsidR="00E06A20" w:rsidRDefault="00E06A20">
            <w:bookmarkStart w:id="0" w:name="_GoBack"/>
            <w:bookmarkEnd w:id="0"/>
          </w:p>
        </w:tc>
        <w:tc>
          <w:tcPr>
            <w:tcW w:w="2520" w:type="dxa"/>
            <w:tcBorders>
              <w:left w:val="single" w:sz="4" w:space="0" w:color="FFFFFF"/>
            </w:tcBorders>
            <w:shd w:val="clear" w:color="auto" w:fill="00B050"/>
            <w:vAlign w:val="bottom"/>
          </w:tcPr>
          <w:p w:rsidR="00E06A20" w:rsidRPr="00A2016D" w:rsidRDefault="00F30DF7" w:rsidP="00CD426D">
            <w:pPr>
              <w:pStyle w:val="Ingenafstand"/>
              <w:rPr>
                <w:rFonts w:ascii="Cambria" w:hAnsi="Cambria"/>
                <w:b/>
                <w:b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sz w:val="72"/>
                <w:szCs w:val="72"/>
              </w:rPr>
              <w:t>201</w:t>
            </w:r>
            <w:r w:rsidR="0066064D">
              <w:rPr>
                <w:rFonts w:ascii="Cambria" w:hAnsi="Cambria"/>
                <w:b/>
                <w:bCs/>
                <w:sz w:val="72"/>
                <w:szCs w:val="72"/>
              </w:rPr>
              <w:t>8</w:t>
            </w:r>
          </w:p>
        </w:tc>
      </w:tr>
      <w:tr w:rsidR="00E06A20">
        <w:trPr>
          <w:trHeight w:val="2880"/>
        </w:trPr>
        <w:tc>
          <w:tcPr>
            <w:tcW w:w="1440" w:type="dxa"/>
            <w:tcBorders>
              <w:right w:val="single" w:sz="4" w:space="0" w:color="000000"/>
            </w:tcBorders>
          </w:tcPr>
          <w:p w:rsidR="00E06A20" w:rsidRDefault="00E06A20"/>
        </w:tc>
        <w:tc>
          <w:tcPr>
            <w:tcW w:w="2520" w:type="dxa"/>
            <w:tcBorders>
              <w:left w:val="single" w:sz="4" w:space="0" w:color="000000"/>
            </w:tcBorders>
            <w:vAlign w:val="center"/>
          </w:tcPr>
          <w:p w:rsidR="00E06A20" w:rsidRPr="00A2016D" w:rsidRDefault="00E06A20">
            <w:pPr>
              <w:pStyle w:val="Ingenafstand"/>
            </w:pPr>
            <w:r w:rsidRPr="00A2016D">
              <w:t>Frederiksberg Kommune</w:t>
            </w:r>
          </w:p>
          <w:p w:rsidR="00E06A20" w:rsidRPr="00A2016D" w:rsidRDefault="00E06A20">
            <w:pPr>
              <w:pStyle w:val="Ingenafstand"/>
            </w:pPr>
          </w:p>
          <w:p w:rsidR="00E06A20" w:rsidRPr="00A2016D" w:rsidRDefault="009D4BB9">
            <w:pPr>
              <w:pStyle w:val="Ingenafstand"/>
            </w:pPr>
            <w:r w:rsidRPr="00A2016D">
              <w:t>Sundheds – og Omsorgsafdelingen</w:t>
            </w:r>
          </w:p>
          <w:p w:rsidR="00E06A20" w:rsidRPr="00A2016D" w:rsidRDefault="00E06A20">
            <w:pPr>
              <w:pStyle w:val="Ingenafstand"/>
            </w:pPr>
          </w:p>
        </w:tc>
      </w:tr>
    </w:tbl>
    <w:p w:rsidR="00E06A20" w:rsidRDefault="00E06A20"/>
    <w:p w:rsidR="00E06A20" w:rsidRDefault="00E06A20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06A20">
        <w:tc>
          <w:tcPr>
            <w:tcW w:w="0" w:type="auto"/>
          </w:tcPr>
          <w:p w:rsidR="0044547C" w:rsidRPr="004417AC" w:rsidRDefault="0044547C" w:rsidP="0044547C">
            <w:pPr>
              <w:pStyle w:val="Ingenafstand"/>
              <w:rPr>
                <w:b/>
                <w:bCs/>
                <w:caps/>
                <w:color w:val="00B050"/>
                <w:sz w:val="44"/>
                <w:szCs w:val="44"/>
              </w:rPr>
            </w:pPr>
            <w:r w:rsidRPr="004417AC">
              <w:rPr>
                <w:b/>
                <w:bCs/>
                <w:caps/>
                <w:color w:val="00B050"/>
                <w:sz w:val="44"/>
                <w:szCs w:val="44"/>
              </w:rPr>
              <w:t>Uanmeldt kommunalt tilsyn</w:t>
            </w:r>
          </w:p>
          <w:p w:rsidR="00854C02" w:rsidRDefault="003F2672" w:rsidP="0044547C">
            <w:pPr>
              <w:pStyle w:val="Ingenafstand"/>
              <w:rPr>
                <w:b/>
                <w:bCs/>
                <w:caps/>
                <w:color w:val="00B050"/>
                <w:sz w:val="44"/>
                <w:szCs w:val="44"/>
              </w:rPr>
            </w:pPr>
            <w:r>
              <w:rPr>
                <w:b/>
                <w:bCs/>
                <w:caps/>
                <w:color w:val="00B050"/>
                <w:sz w:val="44"/>
                <w:szCs w:val="44"/>
              </w:rPr>
              <w:t>OK-Huset Lotte</w:t>
            </w:r>
          </w:p>
          <w:p w:rsidR="003F2672" w:rsidRPr="004417AC" w:rsidRDefault="003F2672" w:rsidP="0044547C">
            <w:pPr>
              <w:pStyle w:val="Ingenafstand"/>
              <w:rPr>
                <w:b/>
                <w:bCs/>
                <w:caps/>
                <w:color w:val="00B050"/>
                <w:sz w:val="44"/>
                <w:szCs w:val="44"/>
              </w:rPr>
            </w:pPr>
            <w:r>
              <w:rPr>
                <w:b/>
                <w:bCs/>
                <w:caps/>
                <w:color w:val="00B050"/>
                <w:sz w:val="44"/>
                <w:szCs w:val="44"/>
              </w:rPr>
              <w:t>Borgmester Fischers vej 2a</w:t>
            </w:r>
          </w:p>
          <w:p w:rsidR="00064CC5" w:rsidRPr="004417AC" w:rsidRDefault="00064CC5" w:rsidP="00064CC5">
            <w:pPr>
              <w:pStyle w:val="Ingenafstand"/>
              <w:rPr>
                <w:b/>
                <w:bCs/>
                <w:caps/>
                <w:color w:val="00B050"/>
                <w:sz w:val="44"/>
                <w:szCs w:val="44"/>
              </w:rPr>
            </w:pPr>
            <w:r w:rsidRPr="004417AC">
              <w:rPr>
                <w:b/>
                <w:bCs/>
                <w:caps/>
                <w:color w:val="00B050"/>
                <w:sz w:val="44"/>
                <w:szCs w:val="44"/>
              </w:rPr>
              <w:t>2000 Frederiksberg</w:t>
            </w:r>
          </w:p>
          <w:p w:rsidR="00B134F5" w:rsidRPr="00530E90" w:rsidRDefault="00151840" w:rsidP="00151840">
            <w:pPr>
              <w:pStyle w:val="Ingenafstand"/>
              <w:rPr>
                <w:b/>
                <w:bCs/>
                <w:caps/>
                <w:sz w:val="72"/>
                <w:szCs w:val="72"/>
              </w:rPr>
            </w:pPr>
            <w:r>
              <w:rPr>
                <w:b/>
                <w:bCs/>
                <w:caps/>
                <w:color w:val="00B050"/>
                <w:sz w:val="44"/>
                <w:szCs w:val="44"/>
              </w:rPr>
              <w:t xml:space="preserve">centerchef </w:t>
            </w:r>
            <w:r w:rsidR="00D0325A">
              <w:rPr>
                <w:b/>
                <w:bCs/>
                <w:caps/>
                <w:color w:val="00B050"/>
                <w:sz w:val="44"/>
                <w:szCs w:val="44"/>
              </w:rPr>
              <w:t>Gunvor Hector</w:t>
            </w:r>
          </w:p>
        </w:tc>
      </w:tr>
      <w:tr w:rsidR="00E06A20">
        <w:tc>
          <w:tcPr>
            <w:tcW w:w="0" w:type="auto"/>
          </w:tcPr>
          <w:p w:rsidR="00E06A20" w:rsidRPr="00530E90" w:rsidRDefault="00E06A20" w:rsidP="0066064D">
            <w:pPr>
              <w:pStyle w:val="Ingenafstand"/>
              <w:rPr>
                <w:color w:val="7F7F7F"/>
              </w:rPr>
            </w:pPr>
            <w:r w:rsidRPr="00530E90">
              <w:rPr>
                <w:color w:val="7F7F7F"/>
              </w:rPr>
              <w:t>[</w:t>
            </w:r>
            <w:r w:rsidR="00ED489D">
              <w:rPr>
                <w:color w:val="7F7F7F" w:themeColor="background1" w:themeShade="7F"/>
              </w:rPr>
              <w:t xml:space="preserve">Tilsynet er </w:t>
            </w:r>
            <w:r w:rsidR="003F2672">
              <w:rPr>
                <w:color w:val="7F7F7F" w:themeColor="background1" w:themeShade="7F"/>
              </w:rPr>
              <w:t xml:space="preserve">gennemført </w:t>
            </w:r>
            <w:r w:rsidR="00854C02">
              <w:rPr>
                <w:color w:val="7F7F7F" w:themeColor="background1" w:themeShade="7F"/>
              </w:rPr>
              <w:t>d.</w:t>
            </w:r>
            <w:r w:rsidR="0066064D">
              <w:rPr>
                <w:color w:val="7F7F7F" w:themeColor="background1" w:themeShade="7F"/>
              </w:rPr>
              <w:t xml:space="preserve"> 20. marts 2018</w:t>
            </w:r>
            <w:r w:rsidR="00036DC0">
              <w:rPr>
                <w:color w:val="7F7F7F" w:themeColor="background1" w:themeShade="7F"/>
              </w:rPr>
              <w:t xml:space="preserve"> </w:t>
            </w:r>
            <w:r w:rsidR="009D4BB9">
              <w:rPr>
                <w:color w:val="7F7F7F" w:themeColor="background1" w:themeShade="7F"/>
              </w:rPr>
              <w:t xml:space="preserve">af </w:t>
            </w:r>
            <w:r w:rsidR="000415E8">
              <w:rPr>
                <w:color w:val="7F7F7F" w:themeColor="background1" w:themeShade="7F"/>
              </w:rPr>
              <w:t xml:space="preserve">tilsynsassistent </w:t>
            </w:r>
            <w:r w:rsidR="009D4BB9">
              <w:rPr>
                <w:color w:val="7F7F7F" w:themeColor="background1" w:themeShade="7F"/>
              </w:rPr>
              <w:t xml:space="preserve">Kirsten Bech, </w:t>
            </w:r>
            <w:r w:rsidR="003264FB">
              <w:rPr>
                <w:color w:val="7F7F7F" w:themeColor="background1" w:themeShade="7F"/>
              </w:rPr>
              <w:t>Sundheds – og Omsorgsafdelingen</w:t>
            </w:r>
            <w:r w:rsidRPr="00530E90">
              <w:rPr>
                <w:color w:val="7F7F7F"/>
              </w:rPr>
              <w:t>.]</w:t>
            </w:r>
          </w:p>
        </w:tc>
      </w:tr>
    </w:tbl>
    <w:p w:rsidR="00E06A20" w:rsidRDefault="00E06A20"/>
    <w:p w:rsidR="00E06A20" w:rsidRDefault="00E06A20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  <w:r>
        <w:br w:type="page"/>
      </w:r>
    </w:p>
    <w:p w:rsidR="00DB10AA" w:rsidRPr="00506F2F" w:rsidRDefault="00810A00" w:rsidP="00506F2F">
      <w:pPr>
        <w:pStyle w:val="Overskrift1"/>
      </w:pPr>
      <w:r w:rsidRPr="00506F2F">
        <w:lastRenderedPageBreak/>
        <w:t>Formål</w:t>
      </w:r>
    </w:p>
    <w:p w:rsidR="002073D1" w:rsidRDefault="00810A00" w:rsidP="00000538">
      <w:pPr>
        <w:spacing w:after="0"/>
      </w:pPr>
      <w:r>
        <w:t>Formålet med de</w:t>
      </w:r>
      <w:r w:rsidR="009D4BB9">
        <w:t>t</w:t>
      </w:r>
      <w:r>
        <w:t xml:space="preserve"> </w:t>
      </w:r>
      <w:r w:rsidR="007126EC">
        <w:t xml:space="preserve">årlige </w:t>
      </w:r>
      <w:r>
        <w:t>uanmeldte</w:t>
      </w:r>
      <w:r w:rsidR="007126EC">
        <w:t xml:space="preserve"> kommunale</w:t>
      </w:r>
      <w:r>
        <w:t xml:space="preserve"> tilsyn er</w:t>
      </w:r>
      <w:r w:rsidR="00B914D8">
        <w:t xml:space="preserve"> at afdække</w:t>
      </w:r>
      <w:r w:rsidR="00C21A5A">
        <w:t>,</w:t>
      </w:r>
      <w:r w:rsidR="00574752">
        <w:t xml:space="preserve"> </w:t>
      </w:r>
      <w:r w:rsidR="00765BF3">
        <w:t>hvor</w:t>
      </w:r>
      <w:r w:rsidR="009D4BB9">
        <w:t xml:space="preserve"> </w:t>
      </w:r>
      <w:r w:rsidR="00765BF3">
        <w:t>vidt</w:t>
      </w:r>
      <w:r w:rsidR="00197A6B">
        <w:t xml:space="preserve"> plejecentret </w:t>
      </w:r>
      <w:r w:rsidR="009D4BB9">
        <w:t>f</w:t>
      </w:r>
      <w:r w:rsidR="00B63D98">
        <w:t>ølger</w:t>
      </w:r>
      <w:r w:rsidR="00197A6B">
        <w:t xml:space="preserve"> </w:t>
      </w:r>
      <w:r w:rsidR="00966729">
        <w:t>K</w:t>
      </w:r>
      <w:r w:rsidR="00765BF3">
        <w:t>valitetsstandarder</w:t>
      </w:r>
      <w:r w:rsidR="00B63D98">
        <w:t>ne</w:t>
      </w:r>
      <w:r w:rsidR="009D4BB9">
        <w:t>, o</w:t>
      </w:r>
      <w:r w:rsidR="00B63D98">
        <w:t xml:space="preserve">verholder </w:t>
      </w:r>
      <w:r w:rsidR="000A1FDC">
        <w:t xml:space="preserve">relevant lovgivning herunder </w:t>
      </w:r>
      <w:r w:rsidR="009D4BB9">
        <w:t>serviceloven, e</w:t>
      </w:r>
      <w:r w:rsidR="00B63D98" w:rsidRPr="000A1FDC">
        <w:t xml:space="preserve">fterkommer </w:t>
      </w:r>
      <w:r w:rsidR="00BA7FBC">
        <w:t>bebo</w:t>
      </w:r>
      <w:r w:rsidR="005523F8" w:rsidRPr="000A1FDC">
        <w:t>erens retssikkerhed</w:t>
      </w:r>
      <w:r w:rsidR="009D4BB9">
        <w:t xml:space="preserve"> og l</w:t>
      </w:r>
      <w:r w:rsidR="00A76432">
        <w:t xml:space="preserve">everer en ydelse </w:t>
      </w:r>
      <w:r w:rsidR="00765BF3">
        <w:t xml:space="preserve">med fokus på værdighed og respekt for det enkelte </w:t>
      </w:r>
      <w:r w:rsidR="00A76432">
        <w:t>menneske</w:t>
      </w:r>
      <w:r w:rsidR="009D4BB9">
        <w:t>.</w:t>
      </w:r>
      <w:r w:rsidR="001B7C8F">
        <w:t xml:space="preserve"> Tilsynet gennemføres på baggrund af Servicelovens § 151.</w:t>
      </w:r>
      <w:r w:rsidR="00B914D8">
        <w:t xml:space="preserve"> </w:t>
      </w:r>
      <w:r w:rsidR="00580A46" w:rsidRPr="000A1FDC">
        <w:t>T</w:t>
      </w:r>
      <w:r w:rsidR="00F75167" w:rsidRPr="000A1FDC">
        <w:t xml:space="preserve">ilsynet </w:t>
      </w:r>
      <w:r w:rsidR="00A76432">
        <w:t>skal medvirke til</w:t>
      </w:r>
      <w:r w:rsidR="00423469">
        <w:t xml:space="preserve"> </w:t>
      </w:r>
      <w:r w:rsidR="004D0E36">
        <w:t xml:space="preserve">at </w:t>
      </w:r>
      <w:r w:rsidR="004D0E36" w:rsidRPr="000A1FDC">
        <w:t>skabe læring og f</w:t>
      </w:r>
      <w:r w:rsidR="004D0E36">
        <w:t>remadrettet udvikling af plejen</w:t>
      </w:r>
      <w:r w:rsidR="00CA0321">
        <w:t>,</w:t>
      </w:r>
      <w:r w:rsidR="009D4BB9">
        <w:t xml:space="preserve"> og </w:t>
      </w:r>
      <w:r w:rsidR="00423469" w:rsidRPr="000A1FDC">
        <w:t>at foreb</w:t>
      </w:r>
      <w:r w:rsidR="00423469" w:rsidRPr="000D60B0">
        <w:t>ygge ved at gribe ind, før mindre problemer udvikler sig til alvorlige problemer</w:t>
      </w:r>
      <w:r w:rsidR="00CA0321">
        <w:t>.</w:t>
      </w:r>
      <w:r w:rsidR="00B914D8">
        <w:t xml:space="preserve"> </w:t>
      </w:r>
      <w:r w:rsidR="00DC5CA6">
        <w:t xml:space="preserve">Af hensyn til læsevenlighed </w:t>
      </w:r>
      <w:r w:rsidR="00770308">
        <w:t>omtales</w:t>
      </w:r>
      <w:r w:rsidR="00A83A85">
        <w:t xml:space="preserve"> plejeboliger og plejehjem for pleje</w:t>
      </w:r>
      <w:r w:rsidR="00AE5AE9">
        <w:t>centre</w:t>
      </w:r>
      <w:r w:rsidR="00A83A85">
        <w:t>.</w:t>
      </w:r>
    </w:p>
    <w:p w:rsidR="00000538" w:rsidRDefault="00000538" w:rsidP="00000538">
      <w:pPr>
        <w:spacing w:after="0"/>
      </w:pPr>
    </w:p>
    <w:p w:rsidR="00854C02" w:rsidRDefault="00854C02" w:rsidP="00000538">
      <w:pPr>
        <w:pStyle w:val="Overskrift1"/>
        <w:spacing w:before="0"/>
      </w:pPr>
      <w:r>
        <w:t xml:space="preserve">Præsentation af </w:t>
      </w:r>
      <w:r w:rsidR="00831039">
        <w:t>OK-Huset Lotte</w:t>
      </w:r>
    </w:p>
    <w:p w:rsidR="00624469" w:rsidRPr="00EF188D" w:rsidRDefault="00624469" w:rsidP="00000538">
      <w:pPr>
        <w:spacing w:after="0"/>
        <w:rPr>
          <w:rFonts w:asciiTheme="minorHAnsi" w:hAnsiTheme="minorHAnsi"/>
        </w:rPr>
      </w:pPr>
      <w:r w:rsidRPr="00EF188D">
        <w:rPr>
          <w:rFonts w:asciiTheme="minorHAnsi" w:hAnsiTheme="minorHAnsi"/>
        </w:rPr>
        <w:t xml:space="preserve">OK-Huset </w:t>
      </w:r>
      <w:r w:rsidR="006F15AE" w:rsidRPr="00EF188D">
        <w:rPr>
          <w:rFonts w:asciiTheme="minorHAnsi" w:hAnsiTheme="minorHAnsi"/>
        </w:rPr>
        <w:t xml:space="preserve">Lotte </w:t>
      </w:r>
      <w:r w:rsidRPr="00EF188D">
        <w:rPr>
          <w:rFonts w:asciiTheme="minorHAnsi" w:hAnsiTheme="minorHAnsi"/>
        </w:rPr>
        <w:t>er e</w:t>
      </w:r>
      <w:r w:rsidR="00044AC2" w:rsidRPr="00EF188D">
        <w:rPr>
          <w:rFonts w:asciiTheme="minorHAnsi" w:hAnsiTheme="minorHAnsi"/>
        </w:rPr>
        <w:t>t</w:t>
      </w:r>
      <w:r w:rsidRPr="00EF188D">
        <w:rPr>
          <w:rFonts w:asciiTheme="minorHAnsi" w:hAnsiTheme="minorHAnsi"/>
        </w:rPr>
        <w:t xml:space="preserve"> selvejende </w:t>
      </w:r>
      <w:r w:rsidR="00044AC2" w:rsidRPr="00EF188D">
        <w:rPr>
          <w:rFonts w:asciiTheme="minorHAnsi" w:hAnsiTheme="minorHAnsi"/>
        </w:rPr>
        <w:t xml:space="preserve">plejecenter </w:t>
      </w:r>
      <w:r w:rsidRPr="00EF188D">
        <w:rPr>
          <w:rFonts w:asciiTheme="minorHAnsi" w:hAnsiTheme="minorHAnsi"/>
        </w:rPr>
        <w:t>med driftsoverenskomst med Frederiksberg Kommune.</w:t>
      </w:r>
    </w:p>
    <w:p w:rsidR="00624469" w:rsidRPr="00EF188D" w:rsidRDefault="00044AC2" w:rsidP="00624469">
      <w:pPr>
        <w:spacing w:after="0"/>
        <w:rPr>
          <w:rFonts w:asciiTheme="minorHAnsi" w:hAnsiTheme="minorHAnsi" w:cs="Tahoma"/>
          <w:color w:val="000000"/>
        </w:rPr>
      </w:pPr>
      <w:r w:rsidRPr="00EF188D">
        <w:rPr>
          <w:rFonts w:asciiTheme="minorHAnsi" w:hAnsiTheme="minorHAnsi"/>
        </w:rPr>
        <w:t>OK-Huset Lotte har 6</w:t>
      </w:r>
      <w:r w:rsidR="006F15AE" w:rsidRPr="00EF188D">
        <w:rPr>
          <w:rFonts w:asciiTheme="minorHAnsi" w:hAnsiTheme="minorHAnsi"/>
        </w:rPr>
        <w:t>0 2-værelses plejeboliger</w:t>
      </w:r>
      <w:r w:rsidRPr="00EF188D">
        <w:rPr>
          <w:rFonts w:asciiTheme="minorHAnsi" w:hAnsiTheme="minorHAnsi"/>
        </w:rPr>
        <w:t xml:space="preserve"> fordelt på 6</w:t>
      </w:r>
      <w:r w:rsidR="006F15AE" w:rsidRPr="00EF188D">
        <w:rPr>
          <w:rFonts w:asciiTheme="minorHAnsi" w:hAnsiTheme="minorHAnsi"/>
        </w:rPr>
        <w:t xml:space="preserve"> etager.</w:t>
      </w:r>
      <w:r w:rsidR="00000538" w:rsidRPr="00EF188D">
        <w:rPr>
          <w:rFonts w:asciiTheme="minorHAnsi" w:hAnsiTheme="minorHAnsi"/>
        </w:rPr>
        <w:t xml:space="preserve"> </w:t>
      </w:r>
      <w:r w:rsidR="00624469" w:rsidRPr="00EF188D">
        <w:rPr>
          <w:rFonts w:asciiTheme="minorHAnsi" w:hAnsiTheme="minorHAnsi" w:cs="Tahoma"/>
          <w:color w:val="000000"/>
        </w:rPr>
        <w:t>Den daglige ledelse forestås af</w:t>
      </w:r>
      <w:r w:rsidR="00EF188D" w:rsidRPr="00EF188D">
        <w:rPr>
          <w:rFonts w:asciiTheme="minorHAnsi" w:hAnsiTheme="minorHAnsi" w:cs="Tahoma"/>
          <w:color w:val="000000"/>
        </w:rPr>
        <w:t xml:space="preserve"> </w:t>
      </w:r>
      <w:r w:rsidR="00151840">
        <w:rPr>
          <w:rFonts w:asciiTheme="minorHAnsi" w:hAnsiTheme="minorHAnsi" w:cs="Tahoma"/>
          <w:color w:val="000000"/>
        </w:rPr>
        <w:t>centerchef</w:t>
      </w:r>
      <w:r w:rsidR="00624469" w:rsidRPr="00EF188D">
        <w:rPr>
          <w:rFonts w:asciiTheme="minorHAnsi" w:hAnsiTheme="minorHAnsi" w:cs="Tahoma"/>
          <w:color w:val="000000"/>
        </w:rPr>
        <w:t xml:space="preserve"> og souschef.</w:t>
      </w:r>
    </w:p>
    <w:p w:rsidR="00624469" w:rsidRPr="00EF188D" w:rsidRDefault="00624469" w:rsidP="00EF188D">
      <w:pPr>
        <w:spacing w:after="0"/>
      </w:pPr>
      <w:r w:rsidRPr="00EF188D">
        <w:t xml:space="preserve">Tilsynet henviser til Tilbudsportalen for OK-Huset Lotte for yderligere oplysninger:  </w:t>
      </w:r>
    </w:p>
    <w:p w:rsidR="00151840" w:rsidRDefault="00817D52" w:rsidP="0049799B">
      <w:pPr>
        <w:spacing w:after="0"/>
      </w:pPr>
      <w:hyperlink r:id="rId8" w:history="1">
        <w:r w:rsidR="00151840" w:rsidRPr="00501E4E">
          <w:rPr>
            <w:rStyle w:val="Hyperlink"/>
          </w:rPr>
          <w:t>https://findtilbud.tilbudsportalen.dk/Social/Details?globalsearch=true&amp;freetext=ok-huset%20lotte&amp;id=220146&amp;tab=6197</w:t>
        </w:r>
      </w:hyperlink>
      <w:r w:rsidR="00151840">
        <w:t xml:space="preserve"> </w:t>
      </w:r>
    </w:p>
    <w:p w:rsidR="00A65725" w:rsidRDefault="00A65725" w:rsidP="0049799B">
      <w:pPr>
        <w:spacing w:after="0"/>
        <w:rPr>
          <w:b/>
        </w:rPr>
      </w:pPr>
    </w:p>
    <w:p w:rsidR="0049799B" w:rsidRPr="00A203AC" w:rsidRDefault="0049799B" w:rsidP="0049799B">
      <w:pPr>
        <w:spacing w:after="0"/>
      </w:pPr>
      <w:r w:rsidRPr="00A203AC">
        <w:rPr>
          <w:b/>
        </w:rPr>
        <w:t>Forstanderens præsentation af plejecentret</w:t>
      </w:r>
      <w:r w:rsidRPr="00A203AC">
        <w:t> </w:t>
      </w:r>
    </w:p>
    <w:p w:rsidR="00A16DF1" w:rsidRDefault="00A628C8" w:rsidP="00A203AC">
      <w:pPr>
        <w:spacing w:after="0"/>
      </w:pPr>
      <w:r>
        <w:t>OK-Huset</w:t>
      </w:r>
      <w:r w:rsidR="00A16DF1">
        <w:t xml:space="preserve"> Lotte vil i det kommende år arbejde på at skabe stærk fælles kultur og værdier. </w:t>
      </w:r>
    </w:p>
    <w:p w:rsidR="00A16DF1" w:rsidRDefault="00A16DF1" w:rsidP="00A203AC">
      <w:pPr>
        <w:spacing w:after="0"/>
      </w:pPr>
      <w:r>
        <w:t>Men udgangspunkt i OK-Fondens overordnede værdier, vil OK-</w:t>
      </w:r>
      <w:r w:rsidR="00A628C8">
        <w:t xml:space="preserve">Huset </w:t>
      </w:r>
      <w:r>
        <w:t>Lotte udarbejde egne værdier og kultur. Dette gøres i et lederforum med flere lederdage og ugentlige ledermøder, således at værdier og kultur er solidt forankret i ledergruppen, som derved altid går foran. For at skabe overblik over hvilke kompetencer, der er til stede i medarbejdergruppen, afholdes der KUP samtaler med særlig fokus på de sociale færdigheder.</w:t>
      </w:r>
    </w:p>
    <w:p w:rsidR="00197A6B" w:rsidRDefault="00A16DF1" w:rsidP="00A203AC">
      <w:pPr>
        <w:spacing w:after="0"/>
      </w:pPr>
      <w:r>
        <w:t>Vi arbejder på, at vi får et mere åbent hus, så omgivelserne får indblik i og viden om, hvad der foregår af aktiviteter og fo</w:t>
      </w:r>
      <w:r w:rsidR="00A203AC">
        <w:t xml:space="preserve">rnøjelser på OK-Fonden Lotte.  </w:t>
      </w:r>
    </w:p>
    <w:p w:rsidR="00A203AC" w:rsidRDefault="00A203AC" w:rsidP="00A203AC">
      <w:pPr>
        <w:spacing w:after="0"/>
      </w:pPr>
    </w:p>
    <w:p w:rsidR="002073BD" w:rsidRDefault="002073BD" w:rsidP="002073BD">
      <w:pPr>
        <w:pStyle w:val="Overskrift1"/>
        <w:spacing w:before="0"/>
      </w:pPr>
      <w:r>
        <w:t>Tilsynsresultat</w:t>
      </w:r>
    </w:p>
    <w:p w:rsidR="002073BD" w:rsidRDefault="002073BD" w:rsidP="002073BD">
      <w:pPr>
        <w:spacing w:after="0"/>
      </w:pPr>
      <w:r>
        <w:t>Med en pointscore på 5</w:t>
      </w:r>
      <w:r w:rsidR="00714679">
        <w:t>-0</w:t>
      </w:r>
      <w:r>
        <w:t>, hvor 5 er bedst, har plejecentret opnået nedenstå</w:t>
      </w:r>
      <w:r w:rsidR="00714679">
        <w:t>ende score indenfor syv temaer.</w:t>
      </w:r>
    </w:p>
    <w:p w:rsidR="00854C02" w:rsidRDefault="00854C02" w:rsidP="00854C02">
      <w:pPr>
        <w:spacing w:after="0"/>
      </w:pPr>
      <w:r>
        <w:t xml:space="preserve">Pointscoren er beregnet ud fra den procent, som plejecentret har opnået ved opfyldelsen af de opstillede mål, dvs. opfyldt </w:t>
      </w:r>
      <w:r w:rsidRPr="00DE2D64">
        <w:t>100-9</w:t>
      </w:r>
      <w:r>
        <w:t>6</w:t>
      </w:r>
      <w:r w:rsidRPr="00DE2D64">
        <w:t xml:space="preserve">% giver 5 point, </w:t>
      </w:r>
      <w:r>
        <w:t>95-91</w:t>
      </w:r>
      <w:r w:rsidRPr="00DE2D64">
        <w:t xml:space="preserve">% giver 4 point, </w:t>
      </w:r>
      <w:r>
        <w:t>90</w:t>
      </w:r>
      <w:r w:rsidRPr="00DE2D64">
        <w:t>-</w:t>
      </w:r>
      <w:r>
        <w:t>81% giver 3 point, 80</w:t>
      </w:r>
      <w:r w:rsidRPr="00DE2D64">
        <w:t>-</w:t>
      </w:r>
      <w:r>
        <w:t>51</w:t>
      </w:r>
      <w:r w:rsidRPr="00DE2D64">
        <w:t xml:space="preserve">% giver 2 point, </w:t>
      </w:r>
      <w:r>
        <w:t>50</w:t>
      </w:r>
      <w:r w:rsidRPr="00DE2D64">
        <w:t>-</w:t>
      </w:r>
      <w:r>
        <w:t>21</w:t>
      </w:r>
      <w:r w:rsidRPr="00DE2D64">
        <w:t xml:space="preserve">% giver 1 point, </w:t>
      </w:r>
      <w:r>
        <w:t>20-0 % giver 0 point.</w:t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612"/>
        <w:gridCol w:w="1017"/>
        <w:gridCol w:w="992"/>
        <w:gridCol w:w="992"/>
        <w:gridCol w:w="993"/>
      </w:tblGrid>
      <w:tr w:rsidR="009E3F83" w:rsidRPr="00692D7B" w:rsidTr="00C132D8">
        <w:tc>
          <w:tcPr>
            <w:tcW w:w="5612" w:type="dxa"/>
            <w:tcBorders>
              <w:bottom w:val="single" w:sz="18" w:space="0" w:color="00B050"/>
            </w:tcBorders>
            <w:shd w:val="clear" w:color="auto" w:fill="00B050"/>
          </w:tcPr>
          <w:p w:rsidR="009E3F83" w:rsidRPr="00692D7B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017" w:type="dxa"/>
            <w:tcBorders>
              <w:bottom w:val="single" w:sz="18" w:space="0" w:color="00B050"/>
            </w:tcBorders>
            <w:shd w:val="clear" w:color="auto" w:fill="00B050"/>
          </w:tcPr>
          <w:p w:rsidR="009E3F83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2015</w:t>
            </w:r>
          </w:p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Point</w:t>
            </w:r>
          </w:p>
        </w:tc>
        <w:tc>
          <w:tcPr>
            <w:tcW w:w="992" w:type="dxa"/>
            <w:tcBorders>
              <w:bottom w:val="single" w:sz="18" w:space="0" w:color="00B050"/>
            </w:tcBorders>
            <w:shd w:val="clear" w:color="auto" w:fill="00B050"/>
          </w:tcPr>
          <w:p w:rsidR="009E3F83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2016</w:t>
            </w:r>
          </w:p>
          <w:p w:rsidR="009E3F83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Point</w:t>
            </w:r>
          </w:p>
        </w:tc>
        <w:tc>
          <w:tcPr>
            <w:tcW w:w="992" w:type="dxa"/>
            <w:tcBorders>
              <w:bottom w:val="single" w:sz="18" w:space="0" w:color="00B050"/>
            </w:tcBorders>
            <w:shd w:val="clear" w:color="auto" w:fill="00B050"/>
          </w:tcPr>
          <w:p w:rsidR="009E3F83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2017</w:t>
            </w:r>
          </w:p>
          <w:p w:rsidR="009E3F83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Point</w:t>
            </w:r>
          </w:p>
        </w:tc>
        <w:tc>
          <w:tcPr>
            <w:tcW w:w="993" w:type="dxa"/>
            <w:tcBorders>
              <w:bottom w:val="single" w:sz="18" w:space="0" w:color="00B050"/>
            </w:tcBorders>
            <w:shd w:val="clear" w:color="auto" w:fill="00B050"/>
          </w:tcPr>
          <w:p w:rsidR="009E3F83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2018 Point</w:t>
            </w:r>
          </w:p>
        </w:tc>
      </w:tr>
      <w:tr w:rsidR="009E3F83" w:rsidRPr="00692D7B" w:rsidTr="00C132D8">
        <w:tc>
          <w:tcPr>
            <w:tcW w:w="5612" w:type="dxa"/>
            <w:tcBorders>
              <w:top w:val="single" w:sz="18" w:space="0" w:color="00B050"/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Beboer- og/eller pårørendeoplevelsen</w:t>
            </w:r>
            <w:r>
              <w:rPr>
                <w:rFonts w:ascii="Verdana" w:hAnsi="Verdana"/>
                <w:sz w:val="19"/>
                <w:szCs w:val="19"/>
              </w:rPr>
              <w:t>, samlet på tværs</w:t>
            </w:r>
          </w:p>
        </w:tc>
        <w:tc>
          <w:tcPr>
            <w:tcW w:w="1017" w:type="dxa"/>
            <w:tcBorders>
              <w:top w:val="single" w:sz="18" w:space="0" w:color="00B050"/>
            </w:tcBorders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18" w:space="0" w:color="00B050"/>
            </w:tcBorders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18" w:space="0" w:color="00B050"/>
            </w:tcBorders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18" w:space="0" w:color="00B050"/>
            </w:tcBorders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</w:tr>
      <w:tr w:rsidR="009E3F83" w:rsidRPr="00692D7B" w:rsidTr="00C132D8">
        <w:tc>
          <w:tcPr>
            <w:tcW w:w="5612" w:type="dxa"/>
            <w:tcBorders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Pleje og omsorg</w:t>
            </w:r>
          </w:p>
        </w:tc>
        <w:tc>
          <w:tcPr>
            <w:tcW w:w="1017" w:type="dxa"/>
          </w:tcPr>
          <w:p w:rsidR="009E3F83" w:rsidRPr="0095413D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95413D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95413D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9E3F83" w:rsidRPr="0095413D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</w:tr>
      <w:tr w:rsidR="009E3F83" w:rsidRPr="00692D7B" w:rsidTr="00C132D8">
        <w:tc>
          <w:tcPr>
            <w:tcW w:w="5612" w:type="dxa"/>
            <w:tcBorders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Tone og tilgang</w:t>
            </w:r>
          </w:p>
        </w:tc>
        <w:tc>
          <w:tcPr>
            <w:tcW w:w="1017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</w:tr>
      <w:tr w:rsidR="009E3F83" w:rsidRPr="00692D7B" w:rsidTr="00C132D8">
        <w:tc>
          <w:tcPr>
            <w:tcW w:w="5612" w:type="dxa"/>
            <w:tcBorders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Aktiviteter</w:t>
            </w:r>
          </w:p>
        </w:tc>
        <w:tc>
          <w:tcPr>
            <w:tcW w:w="1017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</w:tr>
      <w:tr w:rsidR="009E3F83" w:rsidRPr="00692D7B" w:rsidTr="00C132D8">
        <w:tc>
          <w:tcPr>
            <w:tcW w:w="5612" w:type="dxa"/>
            <w:tcBorders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Dokumentation</w:t>
            </w:r>
          </w:p>
        </w:tc>
        <w:tc>
          <w:tcPr>
            <w:tcW w:w="1017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</w:tr>
      <w:tr w:rsidR="009E3F83" w:rsidRPr="00692D7B" w:rsidTr="00C132D8">
        <w:tc>
          <w:tcPr>
            <w:tcW w:w="5612" w:type="dxa"/>
            <w:tcBorders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Rengøring og hygiejne</w:t>
            </w:r>
          </w:p>
        </w:tc>
        <w:tc>
          <w:tcPr>
            <w:tcW w:w="1017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</w:tr>
      <w:tr w:rsidR="009E3F83" w:rsidRPr="00692D7B" w:rsidTr="00C132D8">
        <w:tc>
          <w:tcPr>
            <w:tcW w:w="5612" w:type="dxa"/>
            <w:tcBorders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Medarbejderoplevelsen</w:t>
            </w:r>
            <w:r>
              <w:rPr>
                <w:rFonts w:ascii="Verdana" w:hAnsi="Verdana"/>
                <w:sz w:val="19"/>
                <w:szCs w:val="19"/>
              </w:rPr>
              <w:t>, samlet på tværs</w:t>
            </w:r>
          </w:p>
        </w:tc>
        <w:tc>
          <w:tcPr>
            <w:tcW w:w="1017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9E3F83" w:rsidRPr="00692D7B" w:rsidRDefault="009E3F83" w:rsidP="009E3F83">
            <w:pPr>
              <w:spacing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</w:t>
            </w:r>
          </w:p>
        </w:tc>
      </w:tr>
      <w:tr w:rsidR="009E3F83" w:rsidRPr="00692D7B" w:rsidTr="00C132D8">
        <w:tc>
          <w:tcPr>
            <w:tcW w:w="5612" w:type="dxa"/>
            <w:tcBorders>
              <w:left w:val="single" w:sz="18" w:space="0" w:color="00B050"/>
            </w:tcBorders>
          </w:tcPr>
          <w:p w:rsidR="009E3F83" w:rsidRPr="00383A36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  <w:r w:rsidRPr="00383A36">
              <w:rPr>
                <w:rFonts w:ascii="Verdana" w:hAnsi="Verdana"/>
                <w:sz w:val="19"/>
                <w:szCs w:val="19"/>
              </w:rPr>
              <w:t>Årets tema</w:t>
            </w:r>
            <w:r>
              <w:rPr>
                <w:rFonts w:ascii="Verdana" w:hAnsi="Verdana"/>
                <w:sz w:val="19"/>
                <w:szCs w:val="19"/>
              </w:rPr>
              <w:t xml:space="preserve"> – evt.</w:t>
            </w:r>
          </w:p>
        </w:tc>
        <w:tc>
          <w:tcPr>
            <w:tcW w:w="1017" w:type="dxa"/>
          </w:tcPr>
          <w:p w:rsidR="009E3F83" w:rsidRPr="00692D7B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92" w:type="dxa"/>
          </w:tcPr>
          <w:p w:rsidR="009E3F83" w:rsidRPr="00692D7B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93" w:type="dxa"/>
          </w:tcPr>
          <w:p w:rsidR="009E3F83" w:rsidRPr="00692D7B" w:rsidRDefault="009E3F83" w:rsidP="009E3F83">
            <w:pPr>
              <w:spacing w:after="0"/>
              <w:rPr>
                <w:rFonts w:ascii="Verdana" w:hAnsi="Verdana"/>
                <w:sz w:val="19"/>
                <w:szCs w:val="19"/>
              </w:rPr>
            </w:pPr>
          </w:p>
        </w:tc>
      </w:tr>
      <w:tr w:rsidR="009E3F83" w:rsidRPr="00047EC6" w:rsidTr="00C132D8">
        <w:tc>
          <w:tcPr>
            <w:tcW w:w="5612" w:type="dxa"/>
            <w:tcBorders>
              <w:left w:val="single" w:sz="18" w:space="0" w:color="00B050"/>
              <w:bottom w:val="single" w:sz="18" w:space="0" w:color="00B050"/>
            </w:tcBorders>
          </w:tcPr>
          <w:p w:rsidR="009E3F83" w:rsidRPr="00047EC6" w:rsidRDefault="009E3F83" w:rsidP="009E3F83">
            <w:pPr>
              <w:spacing w:after="0"/>
              <w:rPr>
                <w:rFonts w:ascii="Verdana" w:hAnsi="Verdana"/>
                <w:b/>
                <w:sz w:val="19"/>
                <w:szCs w:val="19"/>
              </w:rPr>
            </w:pPr>
            <w:r w:rsidRPr="00047EC6">
              <w:rPr>
                <w:rFonts w:ascii="Verdana" w:hAnsi="Verdana"/>
                <w:b/>
                <w:sz w:val="19"/>
                <w:szCs w:val="19"/>
              </w:rPr>
              <w:t>Samlet gennemsnit</w:t>
            </w:r>
          </w:p>
        </w:tc>
        <w:tc>
          <w:tcPr>
            <w:tcW w:w="1017" w:type="dxa"/>
            <w:tcBorders>
              <w:bottom w:val="single" w:sz="18" w:space="0" w:color="00B050"/>
            </w:tcBorders>
          </w:tcPr>
          <w:p w:rsidR="009E3F83" w:rsidRPr="00047EC6" w:rsidRDefault="009E3F83" w:rsidP="009E3F83">
            <w:pPr>
              <w:spacing w:after="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bottom w:val="single" w:sz="18" w:space="0" w:color="00B050"/>
            </w:tcBorders>
          </w:tcPr>
          <w:p w:rsidR="009E3F83" w:rsidRDefault="009E3F83" w:rsidP="009E3F83">
            <w:pPr>
              <w:spacing w:after="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4,5</w:t>
            </w:r>
          </w:p>
        </w:tc>
        <w:tc>
          <w:tcPr>
            <w:tcW w:w="992" w:type="dxa"/>
            <w:tcBorders>
              <w:bottom w:val="single" w:sz="18" w:space="0" w:color="00B050"/>
            </w:tcBorders>
          </w:tcPr>
          <w:p w:rsidR="009E3F83" w:rsidRPr="00047EC6" w:rsidRDefault="009E3F83" w:rsidP="009E3F83">
            <w:pPr>
              <w:spacing w:after="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bottom w:val="single" w:sz="18" w:space="0" w:color="00B050"/>
            </w:tcBorders>
          </w:tcPr>
          <w:p w:rsidR="009E3F83" w:rsidRPr="00047EC6" w:rsidRDefault="009E3F83" w:rsidP="009E3F83">
            <w:pPr>
              <w:spacing w:after="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5</w:t>
            </w:r>
          </w:p>
        </w:tc>
      </w:tr>
    </w:tbl>
    <w:p w:rsidR="003551DA" w:rsidRPr="001877E1" w:rsidRDefault="003551DA" w:rsidP="003551DA">
      <w:pPr>
        <w:spacing w:after="0"/>
        <w:rPr>
          <w:u w:val="single"/>
        </w:rPr>
      </w:pPr>
      <w:r w:rsidRPr="001877E1">
        <w:rPr>
          <w:u w:val="single"/>
        </w:rPr>
        <w:lastRenderedPageBreak/>
        <w:t>Tilsynets overordnede konklusioner og udviklingspotentialer:</w:t>
      </w:r>
    </w:p>
    <w:p w:rsidR="003551DA" w:rsidRPr="001877E1" w:rsidRDefault="003551DA" w:rsidP="003551DA">
      <w:pPr>
        <w:pStyle w:val="Listeafsnit"/>
        <w:numPr>
          <w:ilvl w:val="0"/>
          <w:numId w:val="1"/>
        </w:numPr>
        <w:spacing w:after="0"/>
        <w:rPr>
          <w:u w:val="single"/>
        </w:rPr>
      </w:pPr>
      <w:r w:rsidRPr="001877E1">
        <w:rPr>
          <w:u w:val="single"/>
        </w:rPr>
        <w:t>Tilsynets o</w:t>
      </w:r>
      <w:r w:rsidR="00B25E6E" w:rsidRPr="001877E1">
        <w:rPr>
          <w:u w:val="single"/>
        </w:rPr>
        <w:t xml:space="preserve">verordnede oplevelse er et </w:t>
      </w:r>
      <w:r w:rsidR="006212AE">
        <w:rPr>
          <w:u w:val="single"/>
        </w:rPr>
        <w:t xml:space="preserve">meget </w:t>
      </w:r>
      <w:r w:rsidR="008E2C80" w:rsidRPr="001877E1">
        <w:rPr>
          <w:u w:val="single"/>
        </w:rPr>
        <w:t>velfungerende plejecenter med</w:t>
      </w:r>
      <w:r w:rsidR="006212AE">
        <w:rPr>
          <w:u w:val="single"/>
        </w:rPr>
        <w:t xml:space="preserve"> få</w:t>
      </w:r>
      <w:r w:rsidR="008E2C80" w:rsidRPr="001877E1">
        <w:rPr>
          <w:u w:val="single"/>
        </w:rPr>
        <w:t xml:space="preserve"> </w:t>
      </w:r>
      <w:r w:rsidRPr="001877E1">
        <w:rPr>
          <w:u w:val="single"/>
        </w:rPr>
        <w:t>udviklingspotentialer.</w:t>
      </w:r>
    </w:p>
    <w:p w:rsidR="000511C9" w:rsidRDefault="008C283E" w:rsidP="00357AD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Beboere og medarbejder</w:t>
      </w:r>
      <w:r w:rsidR="00074407">
        <w:t>e</w:t>
      </w:r>
      <w:r>
        <w:t xml:space="preserve"> </w:t>
      </w:r>
      <w:r w:rsidR="00B25E6E" w:rsidRPr="001877E1">
        <w:t>oplever</w:t>
      </w:r>
      <w:r w:rsidR="00596ECF" w:rsidRPr="001877E1">
        <w:t>,</w:t>
      </w:r>
      <w:r w:rsidR="00B25E6E" w:rsidRPr="001877E1">
        <w:t xml:space="preserve"> </w:t>
      </w:r>
      <w:r w:rsidR="00596ECF" w:rsidRPr="001877E1">
        <w:t>at de får</w:t>
      </w:r>
      <w:r w:rsidR="00A203AC">
        <w:t xml:space="preserve"> den hjælp, støtte og pleje,</w:t>
      </w:r>
      <w:r w:rsidR="00596ECF" w:rsidRPr="001877E1">
        <w:t xml:space="preserve"> de har behov for</w:t>
      </w:r>
      <w:r w:rsidR="00A203AC">
        <w:t>. De</w:t>
      </w:r>
      <w:r w:rsidR="00596ECF" w:rsidRPr="001877E1">
        <w:t xml:space="preserve"> er </w:t>
      </w:r>
      <w:r w:rsidR="00B25E6E" w:rsidRPr="001877E1">
        <w:t>tilfreds</w:t>
      </w:r>
      <w:r w:rsidR="00596ECF" w:rsidRPr="001877E1">
        <w:t xml:space="preserve">e </w:t>
      </w:r>
      <w:r w:rsidR="00B25E6E" w:rsidRPr="001877E1">
        <w:t>med forholdene</w:t>
      </w:r>
      <w:r w:rsidR="00596ECF" w:rsidRPr="001877E1">
        <w:t xml:space="preserve"> herunder </w:t>
      </w:r>
      <w:r w:rsidR="00650835" w:rsidRPr="001877E1">
        <w:t>maden og måltidets rammer</w:t>
      </w:r>
      <w:r w:rsidR="00596ECF" w:rsidRPr="001877E1">
        <w:t xml:space="preserve">. </w:t>
      </w:r>
    </w:p>
    <w:p w:rsidR="008C283E" w:rsidRDefault="00074407" w:rsidP="00357AD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En medarbejder oplever, at der aktuelt</w:t>
      </w:r>
      <w:r w:rsidR="000511C9">
        <w:t xml:space="preserve"> på én afdeling </w:t>
      </w:r>
      <w:r>
        <w:t xml:space="preserve">er beboere med større plejebehov og at det derfor kan være vanskeligt at </w:t>
      </w:r>
      <w:r w:rsidR="000511C9">
        <w:t xml:space="preserve">lave aktiviteter, samt </w:t>
      </w:r>
      <w:r>
        <w:t>yde den pleje og omsorg til alle beboere, som medarbejderen oplever, at de</w:t>
      </w:r>
      <w:r w:rsidR="000511C9">
        <w:t xml:space="preserve"> ha</w:t>
      </w:r>
      <w:r>
        <w:t>r behov for. En medarbejder på samme afdeling deler ikke denne opfattelse.</w:t>
      </w:r>
    </w:p>
    <w:p w:rsidR="006212AE" w:rsidRDefault="00C132D8" w:rsidP="00016918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I én stikprøve</w:t>
      </w:r>
      <w:r w:rsidR="006212AE" w:rsidRPr="00016918">
        <w:t xml:space="preserve"> er der ikke stringent dokumentation af samtykke til kontakt til egen læge.</w:t>
      </w:r>
    </w:p>
    <w:p w:rsidR="00714679" w:rsidRDefault="006E56FF" w:rsidP="0007440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D</w:t>
      </w:r>
      <w:r w:rsidR="00950AD9" w:rsidRPr="001877E1">
        <w:t>okume</w:t>
      </w:r>
      <w:r w:rsidR="00504935">
        <w:t>ntationen i de tre stikprøver</w:t>
      </w:r>
      <w:r>
        <w:t xml:space="preserve"> lever </w:t>
      </w:r>
      <w:r w:rsidR="00074407">
        <w:t xml:space="preserve">generelt </w:t>
      </w:r>
      <w:r w:rsidR="00950AD9" w:rsidRPr="001877E1">
        <w:t>op til krav fra Styrelsen for Patientsikker</w:t>
      </w:r>
      <w:r w:rsidR="00397C83" w:rsidRPr="001877E1">
        <w:t>heds ”Vejledning om sygeplejefaglige optegnelser”</w:t>
      </w:r>
      <w:r w:rsidR="00950AD9" w:rsidRPr="001877E1">
        <w:t xml:space="preserve"> og aftaler om dokumentation i Care i Frederiksberg Kommune. </w:t>
      </w:r>
      <w:r w:rsidR="00845CDA">
        <w:t xml:space="preserve">Enkelte steder er enkelte </w:t>
      </w:r>
      <w:r w:rsidR="000511C9">
        <w:t xml:space="preserve">sygeplejefaglige </w:t>
      </w:r>
      <w:r w:rsidR="00845CDA">
        <w:t xml:space="preserve">punkter ikke </w:t>
      </w:r>
      <w:r w:rsidR="000511C9">
        <w:t xml:space="preserve">helt </w:t>
      </w:r>
      <w:r w:rsidR="00845CDA">
        <w:t>ajourført.</w:t>
      </w:r>
    </w:p>
    <w:p w:rsidR="00074407" w:rsidRPr="00074407" w:rsidRDefault="00074407" w:rsidP="0007440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Tilsynet har enkelte steder anbefalet tydeligere dokumentation</w:t>
      </w:r>
      <w:r w:rsidR="000511C9">
        <w:t xml:space="preserve"> og at undgå </w:t>
      </w:r>
      <w:r>
        <w:t>dobbeltdokumentation.</w:t>
      </w:r>
    </w:p>
    <w:p w:rsidR="00016918" w:rsidRPr="00016918" w:rsidRDefault="00016918" w:rsidP="00016918">
      <w:pPr>
        <w:pStyle w:val="Listeafsnit"/>
        <w:autoSpaceDE w:val="0"/>
        <w:autoSpaceDN w:val="0"/>
        <w:adjustRightInd w:val="0"/>
        <w:spacing w:after="0"/>
        <w:ind w:left="360"/>
        <w:rPr>
          <w:i/>
        </w:rPr>
      </w:pPr>
    </w:p>
    <w:p w:rsidR="003A6168" w:rsidRDefault="00C173D5" w:rsidP="003A6168">
      <w:pPr>
        <w:spacing w:after="0"/>
        <w:rPr>
          <w:i/>
          <w:u w:val="single"/>
        </w:rPr>
      </w:pPr>
      <w:r w:rsidRPr="00016918">
        <w:rPr>
          <w:i/>
          <w:u w:val="single"/>
        </w:rPr>
        <w:t xml:space="preserve">Opfølgning på </w:t>
      </w:r>
      <w:r w:rsidR="00000C59" w:rsidRPr="00016918">
        <w:rPr>
          <w:i/>
          <w:u w:val="single"/>
        </w:rPr>
        <w:t>seneste tilsyns</w:t>
      </w:r>
      <w:r w:rsidRPr="00016918">
        <w:rPr>
          <w:i/>
          <w:u w:val="single"/>
        </w:rPr>
        <w:t xml:space="preserve"> udviklingspotentialer:</w:t>
      </w:r>
    </w:p>
    <w:p w:rsidR="00A65725" w:rsidRPr="00A65725" w:rsidRDefault="00A65725" w:rsidP="00A65725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/>
      </w:pPr>
      <w:r>
        <w:t xml:space="preserve">Plejecentret har ikke haft tilsyn fra </w:t>
      </w:r>
      <w:r w:rsidR="00392CE5" w:rsidRPr="00392CE5">
        <w:t>Styrelsen for Patientsikkerhed</w:t>
      </w:r>
      <w:r>
        <w:t xml:space="preserve"> i 2017</w:t>
      </w:r>
      <w:r w:rsidR="00392CE5" w:rsidRPr="00392CE5">
        <w:t xml:space="preserve">. </w:t>
      </w:r>
      <w:r>
        <w:t>Seneste uanmeldte kommunale tilsyn var d. 5. september 2017.</w:t>
      </w:r>
    </w:p>
    <w:p w:rsidR="00A65725" w:rsidRPr="00A65725" w:rsidRDefault="00A65725" w:rsidP="00357AD2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/>
      </w:pPr>
      <w:r>
        <w:t xml:space="preserve">Ledelsen har fulgt op på </w:t>
      </w:r>
      <w:r w:rsidRPr="00A65725">
        <w:t>ernæringsmæssige forhold herunder opsporing og forebyggelse af ældre</w:t>
      </w:r>
      <w:r>
        <w:t xml:space="preserve"> </w:t>
      </w:r>
      <w:r w:rsidRPr="00A65725">
        <w:t xml:space="preserve"> i ernæringsrisiko, kost til ældre og til småspisende, foku</w:t>
      </w:r>
      <w:r>
        <w:t>s på kostformer, samt dysf</w:t>
      </w:r>
      <w:r w:rsidRPr="00A65725">
        <w:t>agi.</w:t>
      </w:r>
      <w:r>
        <w:t xml:space="preserve"> </w:t>
      </w:r>
    </w:p>
    <w:p w:rsidR="00A65725" w:rsidRDefault="00A65725" w:rsidP="00A65725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/>
      </w:pPr>
      <w:r>
        <w:t>Tillige har der været fokus på dokumentationspraksis og at forankre de værdier og den kultur som ledelsen tilstræber.</w:t>
      </w:r>
    </w:p>
    <w:p w:rsidR="00A65725" w:rsidRDefault="00A65725" w:rsidP="00392CE5">
      <w:pPr>
        <w:pStyle w:val="Listeafsnit"/>
        <w:spacing w:after="0"/>
        <w:ind w:left="360"/>
      </w:pPr>
    </w:p>
    <w:p w:rsidR="00364918" w:rsidRDefault="00364918" w:rsidP="000B3728">
      <w:pPr>
        <w:autoSpaceDE w:val="0"/>
        <w:autoSpaceDN w:val="0"/>
        <w:adjustRightInd w:val="0"/>
        <w:spacing w:after="0"/>
        <w:rPr>
          <w:u w:val="single"/>
        </w:rPr>
      </w:pPr>
      <w:r w:rsidRPr="00D71C1E">
        <w:rPr>
          <w:u w:val="single"/>
        </w:rPr>
        <w:t>Efter dialog mellem tilsynet og pleje</w:t>
      </w:r>
      <w:r w:rsidR="006F15AE" w:rsidRPr="00D71C1E">
        <w:rPr>
          <w:u w:val="single"/>
        </w:rPr>
        <w:t>centr</w:t>
      </w:r>
      <w:r w:rsidRPr="00D71C1E">
        <w:rPr>
          <w:u w:val="single"/>
        </w:rPr>
        <w:t>et er der, som opfølgning på tilsynsbesøget, aftalt følgende handlinger og aktiviteter i det kommende år:</w:t>
      </w:r>
    </w:p>
    <w:p w:rsidR="00AB7545" w:rsidRDefault="00AB7545" w:rsidP="00AB7545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/>
      </w:pPr>
      <w:r>
        <w:t>At ledelsen på OK-Huset Lotte fastholder fokus på ernæringsmæssige forhold</w:t>
      </w:r>
      <w:r w:rsidR="00425F9A">
        <w:t xml:space="preserve"> med udgangspunkt i ”</w:t>
      </w:r>
      <w:r w:rsidR="00425F9A" w:rsidRPr="007D3493">
        <w:t>Strategi for mad, måltider og ernæring”</w:t>
      </w:r>
      <w:r>
        <w:t>, aktuelt med servering af varm mad om aftenen, hvor ledelsen forventer, at beboeren har størst appetit.</w:t>
      </w:r>
    </w:p>
    <w:p w:rsidR="00357AD2" w:rsidRDefault="00357AD2" w:rsidP="00357AD2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/>
      </w:pPr>
      <w:r w:rsidRPr="00357AD2">
        <w:t>At ledelsen på OK-Huset Lotte</w:t>
      </w:r>
      <w:r w:rsidR="00C132D8">
        <w:t xml:space="preserve"> sikrer, at dokumentationen lever op til gældende krav også efter implementering af Cura.</w:t>
      </w:r>
    </w:p>
    <w:p w:rsidR="00C132D8" w:rsidRDefault="00C132D8" w:rsidP="000B3728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/>
      </w:pPr>
      <w:r>
        <w:t>At ledelsen på OK-Huset Lotte fortsætter arbejdet</w:t>
      </w:r>
      <w:r w:rsidR="00AB7545">
        <w:t xml:space="preserve"> på at skabe</w:t>
      </w:r>
      <w:r>
        <w:t xml:space="preserve"> fælles kultur og værdier</w:t>
      </w:r>
      <w:r w:rsidR="00AB7545">
        <w:t>, herunder også minimale ventetider ved kald samt fokus på rengøringsstandard.</w:t>
      </w:r>
    </w:p>
    <w:p w:rsidR="00285E59" w:rsidRDefault="00285E59" w:rsidP="00285E59">
      <w:pPr>
        <w:autoSpaceDE w:val="0"/>
        <w:autoSpaceDN w:val="0"/>
        <w:adjustRightInd w:val="0"/>
        <w:spacing w:after="0"/>
      </w:pPr>
    </w:p>
    <w:p w:rsidR="008B7220" w:rsidRDefault="00B2658C" w:rsidP="006E258E">
      <w:pPr>
        <w:pStyle w:val="Overskrift1"/>
        <w:spacing w:before="0"/>
      </w:pPr>
      <w:r>
        <w:t>Hvad undersøges</w:t>
      </w:r>
    </w:p>
    <w:p w:rsidR="009C6858" w:rsidRPr="00375765" w:rsidRDefault="009C6858" w:rsidP="009C6858">
      <w:pPr>
        <w:rPr>
          <w:rFonts w:asciiTheme="minorHAnsi" w:hAnsiTheme="minorHAnsi"/>
        </w:rPr>
      </w:pPr>
      <w:r w:rsidRPr="00375765">
        <w:rPr>
          <w:rFonts w:asciiTheme="minorHAnsi" w:hAnsiTheme="minorHAnsi"/>
          <w:u w:val="single"/>
        </w:rPr>
        <w:t>Beboerinterview</w:t>
      </w:r>
      <w:r w:rsidRPr="00375765">
        <w:rPr>
          <w:rFonts w:asciiTheme="minorHAnsi" w:hAnsiTheme="minorHAnsi"/>
        </w:rPr>
        <w:t xml:space="preserve"> og samtaler læner sig op ad Kvalitetsstandarderne og Ældrepolitikken og afspejler, om beboerne får den hjælp, de har behov for og tilfredsheden hermed.</w:t>
      </w:r>
    </w:p>
    <w:p w:rsidR="009C6858" w:rsidRPr="00375765" w:rsidRDefault="009C6858" w:rsidP="009C6858">
      <w:p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  <w:u w:val="single"/>
        </w:rPr>
        <w:t>Observationer</w:t>
      </w:r>
      <w:r w:rsidRPr="00375765">
        <w:rPr>
          <w:rFonts w:asciiTheme="minorHAnsi" w:hAnsiTheme="minorHAnsi"/>
        </w:rPr>
        <w:t xml:space="preserve"> på fællesarealerne skal belyse, om beboerne modtager pleje, omsorg og støtte jf. </w:t>
      </w:r>
      <w:r w:rsidR="00507533" w:rsidRPr="00375765">
        <w:rPr>
          <w:rFonts w:asciiTheme="minorHAnsi" w:hAnsiTheme="minorHAnsi"/>
        </w:rPr>
        <w:t>K</w:t>
      </w:r>
      <w:r w:rsidRPr="00375765">
        <w:rPr>
          <w:rFonts w:asciiTheme="minorHAnsi" w:hAnsiTheme="minorHAnsi"/>
        </w:rPr>
        <w:t>valitetsstandarderne mm. samt om den generelle standard lever op til hertil.</w:t>
      </w:r>
    </w:p>
    <w:p w:rsidR="009C6858" w:rsidRPr="00375765" w:rsidRDefault="009C6858" w:rsidP="009C6858">
      <w:pPr>
        <w:spacing w:after="0"/>
        <w:rPr>
          <w:rFonts w:asciiTheme="minorHAnsi" w:hAnsiTheme="minorHAnsi"/>
        </w:rPr>
      </w:pPr>
    </w:p>
    <w:p w:rsidR="009C6858" w:rsidRPr="00375765" w:rsidRDefault="009C6858" w:rsidP="009C6858">
      <w:pPr>
        <w:spacing w:after="0"/>
        <w:rPr>
          <w:rFonts w:asciiTheme="minorHAnsi" w:hAnsiTheme="minorHAnsi"/>
          <w:u w:val="single"/>
        </w:rPr>
      </w:pPr>
      <w:r w:rsidRPr="00375765">
        <w:rPr>
          <w:rFonts w:asciiTheme="minorHAnsi" w:hAnsiTheme="minorHAnsi"/>
          <w:u w:val="single"/>
        </w:rPr>
        <w:t>Dokumentation</w:t>
      </w:r>
    </w:p>
    <w:p w:rsidR="009C6858" w:rsidRPr="00375765" w:rsidRDefault="009C6858" w:rsidP="009C6858">
      <w:p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Der tages stikprøver af dokumentationen.</w:t>
      </w:r>
    </w:p>
    <w:p w:rsidR="00C41D10" w:rsidRDefault="00C41D10" w:rsidP="009C6858">
      <w:pPr>
        <w:spacing w:after="0"/>
        <w:rPr>
          <w:rFonts w:asciiTheme="minorHAnsi" w:hAnsiTheme="minorHAnsi"/>
          <w:i/>
          <w:u w:val="single"/>
        </w:rPr>
      </w:pPr>
    </w:p>
    <w:p w:rsidR="00C41D10" w:rsidRDefault="00C41D10" w:rsidP="009C6858">
      <w:pPr>
        <w:spacing w:after="0"/>
        <w:rPr>
          <w:rFonts w:asciiTheme="minorHAnsi" w:hAnsiTheme="minorHAnsi"/>
          <w:i/>
          <w:u w:val="single"/>
        </w:rPr>
      </w:pPr>
    </w:p>
    <w:p w:rsidR="009C6858" w:rsidRPr="00375765" w:rsidRDefault="009C6858" w:rsidP="009C6858">
      <w:pPr>
        <w:spacing w:after="0"/>
        <w:rPr>
          <w:rFonts w:asciiTheme="minorHAnsi" w:hAnsiTheme="minorHAnsi"/>
          <w:i/>
          <w:u w:val="single"/>
        </w:rPr>
      </w:pPr>
      <w:r w:rsidRPr="00375765">
        <w:rPr>
          <w:rFonts w:asciiTheme="minorHAnsi" w:hAnsiTheme="minorHAnsi"/>
          <w:i/>
          <w:u w:val="single"/>
        </w:rPr>
        <w:lastRenderedPageBreak/>
        <w:t xml:space="preserve">Der er 12 sygeplejefaglige problemområder, fordelt på i alt 14 </w:t>
      </w:r>
      <w:r w:rsidR="00507533" w:rsidRPr="00375765">
        <w:rPr>
          <w:rFonts w:asciiTheme="minorHAnsi" w:hAnsiTheme="minorHAnsi"/>
          <w:i/>
          <w:u w:val="single"/>
        </w:rPr>
        <w:t xml:space="preserve">områder med i alt </w:t>
      </w:r>
      <w:r w:rsidR="00C712A5" w:rsidRPr="00375765">
        <w:rPr>
          <w:rFonts w:asciiTheme="minorHAnsi" w:hAnsiTheme="minorHAnsi"/>
          <w:i/>
          <w:u w:val="single"/>
        </w:rPr>
        <w:t>67</w:t>
      </w:r>
      <w:r w:rsidR="00507533" w:rsidRPr="00375765">
        <w:rPr>
          <w:rFonts w:asciiTheme="minorHAnsi" w:hAnsiTheme="minorHAnsi"/>
          <w:i/>
          <w:u w:val="single"/>
        </w:rPr>
        <w:t xml:space="preserve"> målepunkter</w:t>
      </w:r>
      <w:r w:rsidRPr="00375765">
        <w:rPr>
          <w:rFonts w:asciiTheme="minorHAnsi" w:hAnsiTheme="minorHAnsi"/>
          <w:i/>
          <w:u w:val="single"/>
        </w:rPr>
        <w:t>.</w:t>
      </w:r>
    </w:p>
    <w:p w:rsidR="009C6858" w:rsidRPr="00375765" w:rsidRDefault="009C6858" w:rsidP="009C6858">
      <w:pPr>
        <w:spacing w:after="0"/>
        <w:rPr>
          <w:rFonts w:asciiTheme="minorHAnsi" w:hAnsiTheme="minorHAnsi"/>
          <w:i/>
        </w:rPr>
      </w:pPr>
      <w:r w:rsidRPr="00375765">
        <w:rPr>
          <w:rFonts w:asciiTheme="minorHAnsi" w:hAnsiTheme="minorHAnsi"/>
          <w:i/>
        </w:rPr>
        <w:t>Den sundhedsfaglige dokumentation skal som minimum indeholde en beskrivelse af, hvorvidt beboeren har aktuelle eller potentielle problemer inden for følgende problemområder som fx:</w:t>
      </w:r>
    </w:p>
    <w:p w:rsidR="009C6858" w:rsidRPr="00375765" w:rsidRDefault="009C6858" w:rsidP="009C6858">
      <w:pPr>
        <w:pStyle w:val="Listeafsnit"/>
        <w:numPr>
          <w:ilvl w:val="0"/>
          <w:numId w:val="24"/>
        </w:num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Aktivitet (ADL)</w:t>
      </w:r>
    </w:p>
    <w:p w:rsidR="009C6858" w:rsidRPr="00375765" w:rsidRDefault="009C6858" w:rsidP="009C6858">
      <w:pPr>
        <w:pStyle w:val="Listeafsnit"/>
        <w:numPr>
          <w:ilvl w:val="0"/>
          <w:numId w:val="24"/>
        </w:num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Ernæring, inklusiv vægt og vurdering af ernæringsbehov</w:t>
      </w:r>
    </w:p>
    <w:p w:rsidR="009C6858" w:rsidRPr="00375765" w:rsidRDefault="009C6858" w:rsidP="009C6858">
      <w:pPr>
        <w:pStyle w:val="Listeafsnit"/>
        <w:numPr>
          <w:ilvl w:val="0"/>
          <w:numId w:val="24"/>
        </w:num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Hud og slimhinder, herunder vurdering af risiko for udvikling af tryksår</w:t>
      </w:r>
    </w:p>
    <w:p w:rsidR="009C6858" w:rsidRPr="00375765" w:rsidRDefault="009C6858" w:rsidP="009C6858">
      <w:pPr>
        <w:pStyle w:val="Listeafsnit"/>
        <w:numPr>
          <w:ilvl w:val="0"/>
          <w:numId w:val="24"/>
        </w:num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Kommunikation, inkl. hukommelse og sprogfunktion og vurdering af træningsbehov</w:t>
      </w:r>
    </w:p>
    <w:p w:rsidR="009C6858" w:rsidRPr="00375765" w:rsidRDefault="009C6858" w:rsidP="009C6858">
      <w:pPr>
        <w:pStyle w:val="Listeafsnit"/>
        <w:numPr>
          <w:ilvl w:val="0"/>
          <w:numId w:val="24"/>
        </w:num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Smerter</w:t>
      </w:r>
    </w:p>
    <w:p w:rsidR="009C6858" w:rsidRPr="00375765" w:rsidRDefault="009C6858" w:rsidP="009C6858">
      <w:pPr>
        <w:spacing w:after="0"/>
        <w:rPr>
          <w:rFonts w:asciiTheme="minorHAnsi" w:hAnsiTheme="minorHAnsi"/>
          <w:i/>
        </w:rPr>
      </w:pPr>
      <w:r w:rsidRPr="00375765">
        <w:rPr>
          <w:rFonts w:asciiTheme="minorHAnsi" w:hAnsiTheme="minorHAnsi"/>
          <w:i/>
        </w:rPr>
        <w:t>Andre målepunkter vedrørende dokumentation</w:t>
      </w:r>
      <w:r w:rsidR="00000C59" w:rsidRPr="00375765">
        <w:rPr>
          <w:rFonts w:asciiTheme="minorHAnsi" w:hAnsiTheme="minorHAnsi"/>
          <w:i/>
        </w:rPr>
        <w:t xml:space="preserve"> fx</w:t>
      </w:r>
      <w:r w:rsidRPr="00375765">
        <w:rPr>
          <w:rFonts w:asciiTheme="minorHAnsi" w:hAnsiTheme="minorHAnsi"/>
          <w:i/>
        </w:rPr>
        <w:t>:</w:t>
      </w:r>
    </w:p>
    <w:p w:rsidR="009C6858" w:rsidRPr="00375765" w:rsidRDefault="009C6858" w:rsidP="00000C59">
      <w:pPr>
        <w:pStyle w:val="Listeafsnit"/>
        <w:spacing w:after="0"/>
        <w:ind w:left="36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Aktivitetstilbud</w:t>
      </w:r>
    </w:p>
    <w:p w:rsidR="009C6858" w:rsidRPr="00375765" w:rsidRDefault="009C6858" w:rsidP="00000C59">
      <w:pPr>
        <w:pStyle w:val="Listeafsnit"/>
        <w:spacing w:after="0"/>
        <w:ind w:left="360"/>
        <w:rPr>
          <w:rFonts w:asciiTheme="minorHAnsi" w:hAnsiTheme="minorHAnsi"/>
        </w:rPr>
      </w:pPr>
      <w:r w:rsidRPr="00375765">
        <w:rPr>
          <w:rFonts w:asciiTheme="minorHAnsi" w:hAnsiTheme="minorHAnsi"/>
        </w:rPr>
        <w:t>Med</w:t>
      </w:r>
      <w:r w:rsidR="00000C59" w:rsidRPr="00375765">
        <w:rPr>
          <w:rFonts w:asciiTheme="minorHAnsi" w:hAnsiTheme="minorHAnsi"/>
        </w:rPr>
        <w:t>C</w:t>
      </w:r>
      <w:r w:rsidRPr="00375765">
        <w:rPr>
          <w:rFonts w:asciiTheme="minorHAnsi" w:hAnsiTheme="minorHAnsi"/>
        </w:rPr>
        <w:t>om</w:t>
      </w:r>
    </w:p>
    <w:p w:rsidR="009C6858" w:rsidRPr="00375765" w:rsidRDefault="009C6858" w:rsidP="00000C59">
      <w:pPr>
        <w:pStyle w:val="Listeafsnit"/>
        <w:spacing w:after="0"/>
        <w:ind w:left="360"/>
        <w:rPr>
          <w:rFonts w:asciiTheme="minorHAnsi" w:eastAsiaTheme="minorHAnsi" w:hAnsiTheme="minorHAnsi" w:cstheme="minorBidi"/>
        </w:rPr>
      </w:pPr>
      <w:r w:rsidRPr="00375765">
        <w:rPr>
          <w:rFonts w:asciiTheme="minorHAnsi" w:eastAsiaTheme="minorHAnsi" w:hAnsiTheme="minorHAnsi" w:cstheme="minorBidi"/>
        </w:rPr>
        <w:t>Samtykke til kontakt til egen læge og hospital mv.</w:t>
      </w:r>
    </w:p>
    <w:p w:rsidR="009C6858" w:rsidRPr="00375765" w:rsidRDefault="009C6858" w:rsidP="009C6858">
      <w:pPr>
        <w:spacing w:after="0"/>
        <w:rPr>
          <w:rFonts w:asciiTheme="minorHAnsi" w:hAnsiTheme="minorHAnsi"/>
        </w:rPr>
      </w:pPr>
    </w:p>
    <w:p w:rsidR="009C6858" w:rsidRPr="00375765" w:rsidRDefault="009C6858" w:rsidP="009C6858">
      <w:pPr>
        <w:spacing w:after="0"/>
        <w:rPr>
          <w:rFonts w:asciiTheme="minorHAnsi" w:hAnsiTheme="minorHAnsi"/>
        </w:rPr>
      </w:pPr>
      <w:r w:rsidRPr="00375765">
        <w:rPr>
          <w:rFonts w:asciiTheme="minorHAnsi" w:hAnsiTheme="minorHAnsi"/>
          <w:u w:val="single"/>
        </w:rPr>
        <w:t>Medarbejderinterview</w:t>
      </w:r>
      <w:r w:rsidRPr="00375765">
        <w:rPr>
          <w:rFonts w:asciiTheme="minorHAnsi" w:hAnsiTheme="minorHAnsi"/>
        </w:rPr>
        <w:t xml:space="preserve"> og samtaler er medarbejderens oplevelse</w:t>
      </w:r>
      <w:r w:rsidR="006F15AE" w:rsidRPr="00375765">
        <w:rPr>
          <w:rFonts w:asciiTheme="minorHAnsi" w:hAnsiTheme="minorHAnsi"/>
        </w:rPr>
        <w:t xml:space="preserve"> af, om beboerne får den pleje, </w:t>
      </w:r>
      <w:r w:rsidRPr="00375765">
        <w:rPr>
          <w:rFonts w:asciiTheme="minorHAnsi" w:hAnsiTheme="minorHAnsi"/>
        </w:rPr>
        <w:t>støtte og hjælp, de har behov for, og om medarbejderen har kompetencerne til at give den</w:t>
      </w:r>
      <w:r w:rsidR="003F2672" w:rsidRPr="00375765">
        <w:rPr>
          <w:rFonts w:asciiTheme="minorHAnsi" w:hAnsiTheme="minorHAnsi"/>
        </w:rPr>
        <w:t>,</w:t>
      </w:r>
      <w:r w:rsidRPr="00375765">
        <w:rPr>
          <w:rFonts w:asciiTheme="minorHAnsi" w:hAnsiTheme="minorHAnsi"/>
        </w:rPr>
        <w:t xml:space="preserve"> samt den </w:t>
      </w:r>
      <w:r w:rsidR="006F15AE" w:rsidRPr="00375765">
        <w:rPr>
          <w:rFonts w:asciiTheme="minorHAnsi" w:hAnsiTheme="minorHAnsi"/>
        </w:rPr>
        <w:t>generelle tilfredshed med plejecentre</w:t>
      </w:r>
      <w:r w:rsidRPr="00375765">
        <w:rPr>
          <w:rFonts w:asciiTheme="minorHAnsi" w:hAnsiTheme="minorHAnsi"/>
        </w:rPr>
        <w:t>ts indsats over</w:t>
      </w:r>
      <w:r w:rsidR="003F2672" w:rsidRPr="00375765">
        <w:rPr>
          <w:rFonts w:asciiTheme="minorHAnsi" w:hAnsiTheme="minorHAnsi"/>
        </w:rPr>
        <w:t xml:space="preserve"> </w:t>
      </w:r>
      <w:r w:rsidRPr="00375765">
        <w:rPr>
          <w:rFonts w:asciiTheme="minorHAnsi" w:hAnsiTheme="minorHAnsi"/>
        </w:rPr>
        <w:t>for beboere og medarbejdere.</w:t>
      </w:r>
    </w:p>
    <w:p w:rsidR="009C6858" w:rsidRPr="00375765" w:rsidRDefault="009C6858" w:rsidP="009C6858">
      <w:pPr>
        <w:pStyle w:val="Listeafsnit"/>
        <w:spacing w:after="0"/>
        <w:ind w:left="360"/>
        <w:rPr>
          <w:rFonts w:asciiTheme="minorHAnsi" w:hAnsiTheme="minorHAnsi"/>
          <w:b/>
        </w:rPr>
      </w:pPr>
    </w:p>
    <w:p w:rsidR="009C6858" w:rsidRPr="00375765" w:rsidRDefault="009C6858" w:rsidP="009C6858">
      <w:pPr>
        <w:rPr>
          <w:rFonts w:asciiTheme="minorHAnsi" w:hAnsiTheme="minorHAnsi"/>
          <w:b/>
        </w:rPr>
      </w:pPr>
      <w:r w:rsidRPr="00375765">
        <w:rPr>
          <w:rFonts w:asciiTheme="minorHAnsi" w:hAnsiTheme="minorHAnsi"/>
          <w:u w:val="single"/>
        </w:rPr>
        <w:t>Pårørendesamtale</w:t>
      </w:r>
      <w:r w:rsidRPr="00375765">
        <w:rPr>
          <w:rFonts w:asciiTheme="minorHAnsi" w:hAnsiTheme="minorHAnsi"/>
        </w:rPr>
        <w:t>r læner sig op ad Kvalitetsstandarderne og Ældrepolitikken og afspejler, om beboerne får den hjælp, de har behov for og tilfredsheden hermed.</w:t>
      </w:r>
    </w:p>
    <w:p w:rsidR="004B16BE" w:rsidRDefault="004B16BE" w:rsidP="004B16BE">
      <w:pPr>
        <w:pStyle w:val="Overskrift1"/>
        <w:spacing w:before="0"/>
      </w:pPr>
      <w:r>
        <w:t>Metode ved det aktuelle tilsyn</w:t>
      </w:r>
    </w:p>
    <w:p w:rsidR="003C2541" w:rsidRDefault="003C2541" w:rsidP="003C2541">
      <w:pPr>
        <w:spacing w:after="0"/>
      </w:pPr>
      <w:r>
        <w:t>Det uanmeldte kommunale tilsyn tager udgangspunkt i en helhedsvurdering af plejecentret.</w:t>
      </w:r>
    </w:p>
    <w:p w:rsidR="003C2541" w:rsidRPr="001877E1" w:rsidRDefault="00151840" w:rsidP="003C2541">
      <w:pPr>
        <w:keepLines/>
        <w:widowControl w:val="0"/>
        <w:spacing w:after="0"/>
      </w:pPr>
      <w:r w:rsidRPr="001877E1">
        <w:t>Tilsynet afl</w:t>
      </w:r>
      <w:r>
        <w:t xml:space="preserve">ægges som et aftentilsyn i tidsrummet kl. 10.30-19.30. </w:t>
      </w:r>
      <w:r w:rsidR="003C2541" w:rsidRPr="001877E1">
        <w:t xml:space="preserve">Tilsynet taler indledningsvis med </w:t>
      </w:r>
      <w:r w:rsidR="00F40FEE">
        <w:t>s</w:t>
      </w:r>
      <w:r w:rsidR="003C2541" w:rsidRPr="001877E1">
        <w:t>ouschef</w:t>
      </w:r>
      <w:r w:rsidR="001877E1">
        <w:t xml:space="preserve"> og udviklingssygeplejerske, hvor de væsentligste tiltag siden seneste tilsyn drøftes.</w:t>
      </w:r>
      <w:r>
        <w:t xml:space="preserve"> Tilsynet </w:t>
      </w:r>
      <w:r w:rsidR="0066064D">
        <w:t>afsluttes med, at</w:t>
      </w:r>
      <w:r w:rsidR="001877E1">
        <w:t xml:space="preserve"> souschef</w:t>
      </w:r>
      <w:r w:rsidR="0066064D">
        <w:t>en</w:t>
      </w:r>
      <w:r w:rsidR="001877E1">
        <w:t xml:space="preserve"> </w:t>
      </w:r>
      <w:r w:rsidR="003C2541" w:rsidRPr="001877E1">
        <w:t xml:space="preserve">orienteres om </w:t>
      </w:r>
      <w:r w:rsidR="001877E1">
        <w:t xml:space="preserve">det overordnede </w:t>
      </w:r>
      <w:r w:rsidR="00F40FEE">
        <w:t>tilsynsresultat</w:t>
      </w:r>
      <w:r w:rsidR="001877E1">
        <w:t>.</w:t>
      </w:r>
      <w:r>
        <w:t xml:space="preserve"> Centerchefen</w:t>
      </w:r>
      <w:r w:rsidR="00F40FEE">
        <w:t xml:space="preserve"> orienteres dagen efter telefonisk om tilsynsresultatet.</w:t>
      </w:r>
    </w:p>
    <w:p w:rsidR="004B16BE" w:rsidRPr="001877E1" w:rsidRDefault="004B16BE" w:rsidP="004B16BE">
      <w:pPr>
        <w:spacing w:after="0"/>
      </w:pPr>
      <w:r w:rsidRPr="001877E1">
        <w:t xml:space="preserve">Beboerne giver tilsagn om at deltage i tilsynet. </w:t>
      </w:r>
    </w:p>
    <w:p w:rsidR="004B16BE" w:rsidRPr="001877E1" w:rsidRDefault="00D14FB6" w:rsidP="004B16BE">
      <w:pPr>
        <w:keepLines/>
        <w:widowControl w:val="0"/>
        <w:spacing w:after="0"/>
      </w:pPr>
      <w:r w:rsidRPr="001877E1">
        <w:t>Tilsynet</w:t>
      </w:r>
      <w:r w:rsidR="004B16BE" w:rsidRPr="001877E1">
        <w:t xml:space="preserve"> foretage</w:t>
      </w:r>
      <w:r w:rsidRPr="001877E1">
        <w:t>r</w:t>
      </w:r>
      <w:r w:rsidR="004B16BE" w:rsidRPr="001877E1">
        <w:t xml:space="preserve"> gennemgang af dokumentation hos </w:t>
      </w:r>
      <w:r w:rsidR="003C2541" w:rsidRPr="001877E1">
        <w:t>3</w:t>
      </w:r>
      <w:r w:rsidR="00BC1B82" w:rsidRPr="001877E1">
        <w:t xml:space="preserve"> </w:t>
      </w:r>
      <w:r w:rsidRPr="001877E1">
        <w:t xml:space="preserve">tilfældigt udvalgte </w:t>
      </w:r>
      <w:r w:rsidR="00966729" w:rsidRPr="001877E1">
        <w:t xml:space="preserve">beboere. </w:t>
      </w:r>
    </w:p>
    <w:p w:rsidR="004B16BE" w:rsidRPr="001877E1" w:rsidRDefault="003C2541" w:rsidP="004B16BE">
      <w:pPr>
        <w:spacing w:after="0"/>
      </w:pPr>
      <w:r w:rsidRPr="001877E1">
        <w:t>Tilsynet hilser på og interviewer</w:t>
      </w:r>
      <w:r w:rsidR="00BC1B82" w:rsidRPr="001877E1">
        <w:t xml:space="preserve"> </w:t>
      </w:r>
      <w:r w:rsidR="001877E1">
        <w:t xml:space="preserve">2 af </w:t>
      </w:r>
      <w:r w:rsidR="00BC1B82" w:rsidRPr="001877E1">
        <w:t xml:space="preserve">de beboere, hvis dokumentation er gennemgået. </w:t>
      </w:r>
      <w:r w:rsidR="001877E1">
        <w:t xml:space="preserve">En beboer </w:t>
      </w:r>
      <w:r w:rsidR="00F40FEE">
        <w:t>havde glemt en privat aftale, og kunne derfor alligevel ikke deltage i et interview. Tilsynet talte i stedet med 3 andre beboere i forbindelse med aftensmåltidet.</w:t>
      </w:r>
      <w:r w:rsidR="0066064D">
        <w:t xml:space="preserve"> Ingen af samtaler</w:t>
      </w:r>
      <w:r w:rsidR="00A65725">
        <w:t>ne</w:t>
      </w:r>
      <w:r w:rsidR="0066064D">
        <w:t xml:space="preserve"> gav anledning til særlig undren.</w:t>
      </w:r>
      <w:r w:rsidR="00966729" w:rsidRPr="001877E1">
        <w:t xml:space="preserve"> </w:t>
      </w:r>
      <w:r w:rsidR="00BC1B82" w:rsidRPr="001877E1">
        <w:t>Ingen beboere har ønsket at tale m</w:t>
      </w:r>
      <w:r w:rsidR="004B16BE" w:rsidRPr="001877E1">
        <w:t xml:space="preserve">ed tilsynet under private forhold. </w:t>
      </w:r>
    </w:p>
    <w:p w:rsidR="004B16BE" w:rsidRPr="001877E1" w:rsidRDefault="00966729" w:rsidP="004B16BE">
      <w:pPr>
        <w:keepLines/>
        <w:widowControl w:val="0"/>
        <w:spacing w:after="0"/>
      </w:pPr>
      <w:r w:rsidRPr="001877E1">
        <w:t xml:space="preserve">Der </w:t>
      </w:r>
      <w:r w:rsidR="004B16BE" w:rsidRPr="001877E1">
        <w:t>foretage</w:t>
      </w:r>
      <w:r w:rsidRPr="001877E1">
        <w:t>s interviews og samtaler med</w:t>
      </w:r>
      <w:r w:rsidR="004B16BE" w:rsidRPr="001877E1">
        <w:t xml:space="preserve"> </w:t>
      </w:r>
      <w:r w:rsidR="001877E1">
        <w:t>4</w:t>
      </w:r>
      <w:r w:rsidR="003C2541" w:rsidRPr="001877E1">
        <w:t xml:space="preserve"> </w:t>
      </w:r>
      <w:r w:rsidR="004B16BE" w:rsidRPr="001877E1">
        <w:t xml:space="preserve">medarbejdere, </w:t>
      </w:r>
      <w:r w:rsidR="00BC1B82" w:rsidRPr="001877E1">
        <w:t xml:space="preserve">der </w:t>
      </w:r>
      <w:r w:rsidRPr="001877E1">
        <w:t>ikke</w:t>
      </w:r>
      <w:r w:rsidR="004B16BE" w:rsidRPr="001877E1">
        <w:t xml:space="preserve"> har ledelsesbeføjelser. De interviewede medarbejdere har</w:t>
      </w:r>
      <w:r w:rsidR="00762EBE" w:rsidRPr="001877E1">
        <w:t xml:space="preserve"> </w:t>
      </w:r>
      <w:r w:rsidR="004B16BE" w:rsidRPr="001877E1">
        <w:t xml:space="preserve">sundhedsfaglig uddannelse. </w:t>
      </w:r>
    </w:p>
    <w:p w:rsidR="004B16BE" w:rsidRPr="001877E1" w:rsidRDefault="004B16BE" w:rsidP="00BE124A">
      <w:pPr>
        <w:spacing w:after="0"/>
      </w:pPr>
      <w:r w:rsidRPr="001877E1">
        <w:t>Tilsynet foretager observationer på fællesarealer og observationer hos beboerne og medarbejdere.</w:t>
      </w:r>
    </w:p>
    <w:p w:rsidR="004B16BE" w:rsidRDefault="00966729" w:rsidP="004B16BE">
      <w:pPr>
        <w:spacing w:after="0"/>
      </w:pPr>
      <w:r w:rsidRPr="001877E1">
        <w:t>Tilsynet</w:t>
      </w:r>
      <w:r w:rsidR="00762EBE" w:rsidRPr="001877E1">
        <w:t xml:space="preserve"> tal</w:t>
      </w:r>
      <w:r w:rsidRPr="001877E1">
        <w:t>er</w:t>
      </w:r>
      <w:r w:rsidR="003C2541" w:rsidRPr="001877E1">
        <w:t xml:space="preserve"> ikke </w:t>
      </w:r>
      <w:r w:rsidR="00762EBE" w:rsidRPr="001877E1">
        <w:t>med pårørende.</w:t>
      </w:r>
      <w:r w:rsidR="00467EA8">
        <w:t xml:space="preserve"> </w:t>
      </w:r>
    </w:p>
    <w:p w:rsidR="00330795" w:rsidRDefault="00330795" w:rsidP="004B16BE">
      <w:pPr>
        <w:spacing w:after="0"/>
      </w:pPr>
    </w:p>
    <w:p w:rsidR="00330795" w:rsidRDefault="00330795" w:rsidP="004B16BE">
      <w:pPr>
        <w:spacing w:after="0"/>
      </w:pPr>
    </w:p>
    <w:p w:rsidR="00330795" w:rsidRDefault="00330795" w:rsidP="004B16BE">
      <w:pPr>
        <w:spacing w:after="0"/>
      </w:pPr>
    </w:p>
    <w:p w:rsidR="00330795" w:rsidRDefault="00330795" w:rsidP="004B16BE">
      <w:pPr>
        <w:spacing w:after="0"/>
      </w:pPr>
    </w:p>
    <w:p w:rsidR="00330795" w:rsidRDefault="00330795" w:rsidP="004B16BE">
      <w:pPr>
        <w:spacing w:after="0"/>
      </w:pPr>
    </w:p>
    <w:p w:rsidR="00330795" w:rsidRDefault="00330795" w:rsidP="004B16BE">
      <w:pPr>
        <w:spacing w:after="0"/>
      </w:pPr>
    </w:p>
    <w:sectPr w:rsidR="00330795" w:rsidSect="00A07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D52" w:rsidRDefault="00817D52" w:rsidP="00061387">
      <w:pPr>
        <w:spacing w:after="0" w:line="240" w:lineRule="auto"/>
      </w:pPr>
      <w:r>
        <w:separator/>
      </w:r>
    </w:p>
  </w:endnote>
  <w:endnote w:type="continuationSeparator" w:id="0">
    <w:p w:rsidR="00817D52" w:rsidRDefault="00817D52" w:rsidP="0006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D2" w:rsidRDefault="00357A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D2" w:rsidRDefault="00357AD2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4EA">
      <w:rPr>
        <w:noProof/>
      </w:rPr>
      <w:t>3</w:t>
    </w:r>
    <w:r>
      <w:rPr>
        <w:noProof/>
      </w:rPr>
      <w:fldChar w:fldCharType="end"/>
    </w:r>
  </w:p>
  <w:p w:rsidR="00357AD2" w:rsidRDefault="00357A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D2" w:rsidRDefault="00357A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D52" w:rsidRDefault="00817D52" w:rsidP="00061387">
      <w:pPr>
        <w:spacing w:after="0" w:line="240" w:lineRule="auto"/>
      </w:pPr>
      <w:r>
        <w:separator/>
      </w:r>
    </w:p>
  </w:footnote>
  <w:footnote w:type="continuationSeparator" w:id="0">
    <w:p w:rsidR="00817D52" w:rsidRDefault="00817D52" w:rsidP="0006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D2" w:rsidRDefault="00357A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D2" w:rsidRDefault="00357AD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D2" w:rsidRDefault="00357A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557"/>
    <w:multiLevelType w:val="hybridMultilevel"/>
    <w:tmpl w:val="552E2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0D9E"/>
    <w:multiLevelType w:val="hybridMultilevel"/>
    <w:tmpl w:val="09EAB4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0AE"/>
    <w:multiLevelType w:val="hybridMultilevel"/>
    <w:tmpl w:val="4F1423F6"/>
    <w:lvl w:ilvl="0" w:tplc="3ACCEFEE">
      <w:start w:val="7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42DC"/>
    <w:multiLevelType w:val="hybridMultilevel"/>
    <w:tmpl w:val="855823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7249"/>
    <w:multiLevelType w:val="hybridMultilevel"/>
    <w:tmpl w:val="A6E2CB60"/>
    <w:lvl w:ilvl="0" w:tplc="CDC6A6E6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75B"/>
    <w:multiLevelType w:val="hybridMultilevel"/>
    <w:tmpl w:val="9D100806"/>
    <w:lvl w:ilvl="0" w:tplc="F9EEB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6A24"/>
    <w:multiLevelType w:val="hybridMultilevel"/>
    <w:tmpl w:val="8D046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E85"/>
    <w:multiLevelType w:val="hybridMultilevel"/>
    <w:tmpl w:val="AEB87E6A"/>
    <w:lvl w:ilvl="0" w:tplc="E8245096">
      <w:start w:val="6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29227D"/>
    <w:multiLevelType w:val="hybridMultilevel"/>
    <w:tmpl w:val="C2DE6E50"/>
    <w:lvl w:ilvl="0" w:tplc="0406000F">
      <w:start w:val="9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10024"/>
    <w:multiLevelType w:val="hybridMultilevel"/>
    <w:tmpl w:val="3594BCEA"/>
    <w:lvl w:ilvl="0" w:tplc="DBB07C2E">
      <w:start w:val="9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0368"/>
    <w:multiLevelType w:val="hybridMultilevel"/>
    <w:tmpl w:val="99664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0A0A"/>
    <w:multiLevelType w:val="hybridMultilevel"/>
    <w:tmpl w:val="AF4A5340"/>
    <w:lvl w:ilvl="0" w:tplc="B03A40F4">
      <w:start w:val="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5817"/>
    <w:multiLevelType w:val="hybridMultilevel"/>
    <w:tmpl w:val="67B04CE8"/>
    <w:lvl w:ilvl="0" w:tplc="86FA9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93D"/>
    <w:multiLevelType w:val="hybridMultilevel"/>
    <w:tmpl w:val="6322ABE6"/>
    <w:lvl w:ilvl="0" w:tplc="9D82FD6E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 w:tplc="27BE1A5A">
      <w:numFmt w:val="bullet"/>
      <w:lvlText w:val="-"/>
      <w:lvlJc w:val="left"/>
      <w:pPr>
        <w:ind w:left="-2039" w:hanging="360"/>
      </w:pPr>
      <w:rPr>
        <w:rFonts w:ascii="Calibri" w:eastAsia="Calibri" w:hAnsi="Calibri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-1319" w:hanging="180"/>
      </w:pPr>
    </w:lvl>
    <w:lvl w:ilvl="3" w:tplc="0406000F" w:tentative="1">
      <w:start w:val="1"/>
      <w:numFmt w:val="decimal"/>
      <w:lvlText w:val="%4."/>
      <w:lvlJc w:val="left"/>
      <w:pPr>
        <w:ind w:left="-599" w:hanging="360"/>
      </w:pPr>
    </w:lvl>
    <w:lvl w:ilvl="4" w:tplc="04060019" w:tentative="1">
      <w:start w:val="1"/>
      <w:numFmt w:val="lowerLetter"/>
      <w:lvlText w:val="%5."/>
      <w:lvlJc w:val="left"/>
      <w:pPr>
        <w:ind w:left="121" w:hanging="360"/>
      </w:pPr>
    </w:lvl>
    <w:lvl w:ilvl="5" w:tplc="0406001B" w:tentative="1">
      <w:start w:val="1"/>
      <w:numFmt w:val="lowerRoman"/>
      <w:lvlText w:val="%6."/>
      <w:lvlJc w:val="right"/>
      <w:pPr>
        <w:ind w:left="841" w:hanging="180"/>
      </w:pPr>
    </w:lvl>
    <w:lvl w:ilvl="6" w:tplc="0406000F" w:tentative="1">
      <w:start w:val="1"/>
      <w:numFmt w:val="decimal"/>
      <w:lvlText w:val="%7."/>
      <w:lvlJc w:val="left"/>
      <w:pPr>
        <w:ind w:left="1561" w:hanging="360"/>
      </w:pPr>
    </w:lvl>
    <w:lvl w:ilvl="7" w:tplc="04060019" w:tentative="1">
      <w:start w:val="1"/>
      <w:numFmt w:val="lowerLetter"/>
      <w:lvlText w:val="%8."/>
      <w:lvlJc w:val="left"/>
      <w:pPr>
        <w:ind w:left="2281" w:hanging="360"/>
      </w:pPr>
    </w:lvl>
    <w:lvl w:ilvl="8" w:tplc="0406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4" w15:restartNumberingAfterBreak="0">
    <w:nsid w:val="3E0225CD"/>
    <w:multiLevelType w:val="hybridMultilevel"/>
    <w:tmpl w:val="462A08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946585"/>
    <w:multiLevelType w:val="hybridMultilevel"/>
    <w:tmpl w:val="6B5C39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76951"/>
    <w:multiLevelType w:val="hybridMultilevel"/>
    <w:tmpl w:val="BF1E9D46"/>
    <w:lvl w:ilvl="0" w:tplc="F5648F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A50AA"/>
    <w:multiLevelType w:val="hybridMultilevel"/>
    <w:tmpl w:val="B04AB3BA"/>
    <w:lvl w:ilvl="0" w:tplc="235C0A46">
      <w:start w:val="8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4036"/>
    <w:multiLevelType w:val="hybridMultilevel"/>
    <w:tmpl w:val="716CBAB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B2323D"/>
    <w:multiLevelType w:val="hybridMultilevel"/>
    <w:tmpl w:val="340283CE"/>
    <w:lvl w:ilvl="0" w:tplc="71DC8B6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6224A"/>
    <w:multiLevelType w:val="hybridMultilevel"/>
    <w:tmpl w:val="7A662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F2C978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A3A89"/>
    <w:multiLevelType w:val="hybridMultilevel"/>
    <w:tmpl w:val="D0107FF8"/>
    <w:lvl w:ilvl="0" w:tplc="132E2CC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538B0"/>
    <w:multiLevelType w:val="hybridMultilevel"/>
    <w:tmpl w:val="B9D6D19A"/>
    <w:lvl w:ilvl="0" w:tplc="7F74F7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6000F">
      <w:start w:val="1"/>
      <w:numFmt w:val="decimal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6A79C1"/>
    <w:multiLevelType w:val="hybridMultilevel"/>
    <w:tmpl w:val="A89C1614"/>
    <w:lvl w:ilvl="0" w:tplc="3B825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24BC9"/>
    <w:multiLevelType w:val="hybridMultilevel"/>
    <w:tmpl w:val="237A668A"/>
    <w:lvl w:ilvl="0" w:tplc="EB7CAF3A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56F0A"/>
    <w:multiLevelType w:val="hybridMultilevel"/>
    <w:tmpl w:val="36DAA2AC"/>
    <w:lvl w:ilvl="0" w:tplc="A36015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E151F1"/>
    <w:multiLevelType w:val="hybridMultilevel"/>
    <w:tmpl w:val="B674F898"/>
    <w:lvl w:ilvl="0" w:tplc="F9D4D5FC">
      <w:start w:val="5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656A5"/>
    <w:multiLevelType w:val="hybridMultilevel"/>
    <w:tmpl w:val="8BEEACC4"/>
    <w:lvl w:ilvl="0" w:tplc="846468A6">
      <w:start w:val="1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E0D2E"/>
    <w:multiLevelType w:val="hybridMultilevel"/>
    <w:tmpl w:val="1284A5EA"/>
    <w:lvl w:ilvl="0" w:tplc="9C760238">
      <w:start w:val="5"/>
      <w:numFmt w:val="decimal"/>
      <w:pStyle w:val="Overskrift2"/>
      <w:lvlText w:val="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211CA2"/>
    <w:multiLevelType w:val="hybridMultilevel"/>
    <w:tmpl w:val="F28EB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52069"/>
    <w:multiLevelType w:val="hybridMultilevel"/>
    <w:tmpl w:val="02107786"/>
    <w:lvl w:ilvl="0" w:tplc="12BC35A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C66DC"/>
    <w:multiLevelType w:val="hybridMultilevel"/>
    <w:tmpl w:val="691E223A"/>
    <w:lvl w:ilvl="0" w:tplc="5980DC6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2091E"/>
    <w:multiLevelType w:val="hybridMultilevel"/>
    <w:tmpl w:val="C8F63D74"/>
    <w:lvl w:ilvl="0" w:tplc="953ED3C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97C49"/>
    <w:multiLevelType w:val="hybridMultilevel"/>
    <w:tmpl w:val="9FA2B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3"/>
  </w:num>
  <w:num w:numId="4">
    <w:abstractNumId w:val="31"/>
  </w:num>
  <w:num w:numId="5">
    <w:abstractNumId w:val="4"/>
  </w:num>
  <w:num w:numId="6">
    <w:abstractNumId w:val="27"/>
  </w:num>
  <w:num w:numId="7">
    <w:abstractNumId w:val="16"/>
  </w:num>
  <w:num w:numId="8">
    <w:abstractNumId w:val="18"/>
  </w:num>
  <w:num w:numId="9">
    <w:abstractNumId w:val="30"/>
  </w:num>
  <w:num w:numId="10">
    <w:abstractNumId w:val="32"/>
  </w:num>
  <w:num w:numId="11">
    <w:abstractNumId w:val="9"/>
  </w:num>
  <w:num w:numId="12">
    <w:abstractNumId w:val="5"/>
  </w:num>
  <w:num w:numId="13">
    <w:abstractNumId w:val="1"/>
  </w:num>
  <w:num w:numId="14">
    <w:abstractNumId w:val="29"/>
  </w:num>
  <w:num w:numId="15">
    <w:abstractNumId w:val="12"/>
  </w:num>
  <w:num w:numId="16">
    <w:abstractNumId w:val="19"/>
  </w:num>
  <w:num w:numId="17">
    <w:abstractNumId w:val="24"/>
  </w:num>
  <w:num w:numId="18">
    <w:abstractNumId w:val="2"/>
  </w:num>
  <w:num w:numId="19">
    <w:abstractNumId w:val="17"/>
  </w:num>
  <w:num w:numId="20">
    <w:abstractNumId w:val="25"/>
  </w:num>
  <w:num w:numId="21">
    <w:abstractNumId w:val="7"/>
  </w:num>
  <w:num w:numId="22">
    <w:abstractNumId w:val="15"/>
  </w:num>
  <w:num w:numId="23">
    <w:abstractNumId w:val="0"/>
  </w:num>
  <w:num w:numId="24">
    <w:abstractNumId w:val="22"/>
  </w:num>
  <w:num w:numId="25">
    <w:abstractNumId w:val="8"/>
  </w:num>
  <w:num w:numId="26">
    <w:abstractNumId w:val="21"/>
  </w:num>
  <w:num w:numId="27">
    <w:abstractNumId w:val="26"/>
  </w:num>
  <w:num w:numId="28">
    <w:abstractNumId w:val="23"/>
  </w:num>
  <w:num w:numId="29">
    <w:abstractNumId w:val="20"/>
  </w:num>
  <w:num w:numId="30">
    <w:abstractNumId w:val="11"/>
  </w:num>
  <w:num w:numId="31">
    <w:abstractNumId w:val="3"/>
  </w:num>
  <w:num w:numId="32">
    <w:abstractNumId w:val="10"/>
  </w:num>
  <w:num w:numId="33">
    <w:abstractNumId w:val="6"/>
  </w:num>
  <w:num w:numId="34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536Rvtee1bNhnFWHA4baOR5GPIaMa3YdG3CCQxUCgTH0IqH8aVtZNiuQyF3tzlNpR1p/fkifZF/e3mhOU9gvg==" w:salt="HJUOsoNXwIAdOk0yU83R3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5"/>
    <w:rsid w:val="00000538"/>
    <w:rsid w:val="000006FB"/>
    <w:rsid w:val="00000C59"/>
    <w:rsid w:val="00001657"/>
    <w:rsid w:val="00001FD1"/>
    <w:rsid w:val="00004A3B"/>
    <w:rsid w:val="00005917"/>
    <w:rsid w:val="000067B7"/>
    <w:rsid w:val="00011165"/>
    <w:rsid w:val="0001231E"/>
    <w:rsid w:val="00012613"/>
    <w:rsid w:val="00014395"/>
    <w:rsid w:val="00016918"/>
    <w:rsid w:val="0001724B"/>
    <w:rsid w:val="00024C48"/>
    <w:rsid w:val="00025FE6"/>
    <w:rsid w:val="000307B4"/>
    <w:rsid w:val="00031A5E"/>
    <w:rsid w:val="00031F56"/>
    <w:rsid w:val="00033207"/>
    <w:rsid w:val="00034A34"/>
    <w:rsid w:val="00036DC0"/>
    <w:rsid w:val="000415E8"/>
    <w:rsid w:val="000425FB"/>
    <w:rsid w:val="00044AC2"/>
    <w:rsid w:val="000462C1"/>
    <w:rsid w:val="00047EC6"/>
    <w:rsid w:val="00050386"/>
    <w:rsid w:val="000511C9"/>
    <w:rsid w:val="00052CF5"/>
    <w:rsid w:val="00056839"/>
    <w:rsid w:val="00056B80"/>
    <w:rsid w:val="000576CF"/>
    <w:rsid w:val="00061387"/>
    <w:rsid w:val="00061F0F"/>
    <w:rsid w:val="0006260A"/>
    <w:rsid w:val="00064CC5"/>
    <w:rsid w:val="00065BF6"/>
    <w:rsid w:val="00066A93"/>
    <w:rsid w:val="00066DB9"/>
    <w:rsid w:val="0007100F"/>
    <w:rsid w:val="00071D1A"/>
    <w:rsid w:val="000723D9"/>
    <w:rsid w:val="00073A53"/>
    <w:rsid w:val="00074407"/>
    <w:rsid w:val="0007636C"/>
    <w:rsid w:val="00076816"/>
    <w:rsid w:val="00080F74"/>
    <w:rsid w:val="00081377"/>
    <w:rsid w:val="0008281C"/>
    <w:rsid w:val="00083FC9"/>
    <w:rsid w:val="00085784"/>
    <w:rsid w:val="00086187"/>
    <w:rsid w:val="0009480C"/>
    <w:rsid w:val="00096325"/>
    <w:rsid w:val="000A1507"/>
    <w:rsid w:val="000A1FDC"/>
    <w:rsid w:val="000A21CD"/>
    <w:rsid w:val="000B2C2C"/>
    <w:rsid w:val="000B3728"/>
    <w:rsid w:val="000B3D5E"/>
    <w:rsid w:val="000B4BD2"/>
    <w:rsid w:val="000C0181"/>
    <w:rsid w:val="000C0E39"/>
    <w:rsid w:val="000C0E71"/>
    <w:rsid w:val="000C0E90"/>
    <w:rsid w:val="000C10F3"/>
    <w:rsid w:val="000C206C"/>
    <w:rsid w:val="000C2DCB"/>
    <w:rsid w:val="000C3E60"/>
    <w:rsid w:val="000C720D"/>
    <w:rsid w:val="000C7F5F"/>
    <w:rsid w:val="000D24E1"/>
    <w:rsid w:val="000D3FE3"/>
    <w:rsid w:val="000E2C93"/>
    <w:rsid w:val="000E2FB7"/>
    <w:rsid w:val="000E5818"/>
    <w:rsid w:val="000E60D7"/>
    <w:rsid w:val="000E7F70"/>
    <w:rsid w:val="000F035C"/>
    <w:rsid w:val="000F07F6"/>
    <w:rsid w:val="000F49F5"/>
    <w:rsid w:val="000F517A"/>
    <w:rsid w:val="000F5322"/>
    <w:rsid w:val="000F5885"/>
    <w:rsid w:val="000F5919"/>
    <w:rsid w:val="000F5AEF"/>
    <w:rsid w:val="000F6638"/>
    <w:rsid w:val="000F6A40"/>
    <w:rsid w:val="000F6BDC"/>
    <w:rsid w:val="0010515B"/>
    <w:rsid w:val="00111697"/>
    <w:rsid w:val="00113578"/>
    <w:rsid w:val="00115ED1"/>
    <w:rsid w:val="00123515"/>
    <w:rsid w:val="00126D31"/>
    <w:rsid w:val="00127BBC"/>
    <w:rsid w:val="00131FF9"/>
    <w:rsid w:val="001341AA"/>
    <w:rsid w:val="00134205"/>
    <w:rsid w:val="001343F2"/>
    <w:rsid w:val="00135517"/>
    <w:rsid w:val="0013562B"/>
    <w:rsid w:val="00135ABB"/>
    <w:rsid w:val="00135EEF"/>
    <w:rsid w:val="001445EB"/>
    <w:rsid w:val="00145CF0"/>
    <w:rsid w:val="00147178"/>
    <w:rsid w:val="00150FBC"/>
    <w:rsid w:val="00151840"/>
    <w:rsid w:val="00153268"/>
    <w:rsid w:val="00157872"/>
    <w:rsid w:val="00162683"/>
    <w:rsid w:val="001631BD"/>
    <w:rsid w:val="001636EF"/>
    <w:rsid w:val="00167500"/>
    <w:rsid w:val="00167BBA"/>
    <w:rsid w:val="00182BB2"/>
    <w:rsid w:val="00182EC8"/>
    <w:rsid w:val="0018314D"/>
    <w:rsid w:val="001877E1"/>
    <w:rsid w:val="00187933"/>
    <w:rsid w:val="00191403"/>
    <w:rsid w:val="00192873"/>
    <w:rsid w:val="00193AD0"/>
    <w:rsid w:val="001940E4"/>
    <w:rsid w:val="001943C2"/>
    <w:rsid w:val="00194AAA"/>
    <w:rsid w:val="00195F1D"/>
    <w:rsid w:val="00197A6B"/>
    <w:rsid w:val="001A0450"/>
    <w:rsid w:val="001A3642"/>
    <w:rsid w:val="001A5CA1"/>
    <w:rsid w:val="001B105D"/>
    <w:rsid w:val="001B3BC2"/>
    <w:rsid w:val="001B5792"/>
    <w:rsid w:val="001B5CDE"/>
    <w:rsid w:val="001B6FF5"/>
    <w:rsid w:val="001B7C8F"/>
    <w:rsid w:val="001C0FE7"/>
    <w:rsid w:val="001C37BF"/>
    <w:rsid w:val="001C3A43"/>
    <w:rsid w:val="001D0688"/>
    <w:rsid w:val="001D144B"/>
    <w:rsid w:val="001D4620"/>
    <w:rsid w:val="001D5240"/>
    <w:rsid w:val="001D79D6"/>
    <w:rsid w:val="001E2FE6"/>
    <w:rsid w:val="001F2EBD"/>
    <w:rsid w:val="001F790A"/>
    <w:rsid w:val="00202463"/>
    <w:rsid w:val="00203301"/>
    <w:rsid w:val="002073BD"/>
    <w:rsid w:val="002073D1"/>
    <w:rsid w:val="002127D4"/>
    <w:rsid w:val="0021474F"/>
    <w:rsid w:val="00221062"/>
    <w:rsid w:val="00221462"/>
    <w:rsid w:val="0022189C"/>
    <w:rsid w:val="002238B7"/>
    <w:rsid w:val="00225249"/>
    <w:rsid w:val="00227B88"/>
    <w:rsid w:val="002325FE"/>
    <w:rsid w:val="0023297F"/>
    <w:rsid w:val="002338B0"/>
    <w:rsid w:val="00234663"/>
    <w:rsid w:val="002360F8"/>
    <w:rsid w:val="00237741"/>
    <w:rsid w:val="00244FB7"/>
    <w:rsid w:val="00245BF7"/>
    <w:rsid w:val="002471FE"/>
    <w:rsid w:val="00247320"/>
    <w:rsid w:val="00250A46"/>
    <w:rsid w:val="00250C3E"/>
    <w:rsid w:val="00250CC0"/>
    <w:rsid w:val="00251C7D"/>
    <w:rsid w:val="002544D5"/>
    <w:rsid w:val="0026047F"/>
    <w:rsid w:val="00261DC7"/>
    <w:rsid w:val="00263029"/>
    <w:rsid w:val="0026425F"/>
    <w:rsid w:val="0026440A"/>
    <w:rsid w:val="002652D7"/>
    <w:rsid w:val="00274557"/>
    <w:rsid w:val="002775FC"/>
    <w:rsid w:val="00277C10"/>
    <w:rsid w:val="00281239"/>
    <w:rsid w:val="00282709"/>
    <w:rsid w:val="00284312"/>
    <w:rsid w:val="00285E59"/>
    <w:rsid w:val="0029299C"/>
    <w:rsid w:val="00292C99"/>
    <w:rsid w:val="00294845"/>
    <w:rsid w:val="0029611F"/>
    <w:rsid w:val="002B0B14"/>
    <w:rsid w:val="002B0C13"/>
    <w:rsid w:val="002B2306"/>
    <w:rsid w:val="002B3B75"/>
    <w:rsid w:val="002B542E"/>
    <w:rsid w:val="002C0184"/>
    <w:rsid w:val="002C2300"/>
    <w:rsid w:val="002C513A"/>
    <w:rsid w:val="002C58F4"/>
    <w:rsid w:val="002C6186"/>
    <w:rsid w:val="002C7D58"/>
    <w:rsid w:val="002D138A"/>
    <w:rsid w:val="002D4972"/>
    <w:rsid w:val="002D49E9"/>
    <w:rsid w:val="002D4F6B"/>
    <w:rsid w:val="002D5F4D"/>
    <w:rsid w:val="002D6A5E"/>
    <w:rsid w:val="002E0788"/>
    <w:rsid w:val="002E2013"/>
    <w:rsid w:val="002E2206"/>
    <w:rsid w:val="002E3C06"/>
    <w:rsid w:val="002E4974"/>
    <w:rsid w:val="002E5918"/>
    <w:rsid w:val="002F33A6"/>
    <w:rsid w:val="002F4255"/>
    <w:rsid w:val="002F559A"/>
    <w:rsid w:val="00300B87"/>
    <w:rsid w:val="00300B99"/>
    <w:rsid w:val="00301C58"/>
    <w:rsid w:val="0031295F"/>
    <w:rsid w:val="003130A9"/>
    <w:rsid w:val="00313A86"/>
    <w:rsid w:val="0031586F"/>
    <w:rsid w:val="00320081"/>
    <w:rsid w:val="00323658"/>
    <w:rsid w:val="00324B9A"/>
    <w:rsid w:val="00324FDA"/>
    <w:rsid w:val="003258CB"/>
    <w:rsid w:val="00325D26"/>
    <w:rsid w:val="003264FB"/>
    <w:rsid w:val="00330795"/>
    <w:rsid w:val="00330FCD"/>
    <w:rsid w:val="00331F99"/>
    <w:rsid w:val="00333978"/>
    <w:rsid w:val="00336345"/>
    <w:rsid w:val="00342113"/>
    <w:rsid w:val="00343CB6"/>
    <w:rsid w:val="00346E50"/>
    <w:rsid w:val="00351D1C"/>
    <w:rsid w:val="0035423A"/>
    <w:rsid w:val="003551DA"/>
    <w:rsid w:val="003557CE"/>
    <w:rsid w:val="003566D9"/>
    <w:rsid w:val="00356993"/>
    <w:rsid w:val="00357AD2"/>
    <w:rsid w:val="0036004A"/>
    <w:rsid w:val="00362E22"/>
    <w:rsid w:val="00363F9B"/>
    <w:rsid w:val="00364918"/>
    <w:rsid w:val="00371E22"/>
    <w:rsid w:val="003741CD"/>
    <w:rsid w:val="00374BE9"/>
    <w:rsid w:val="00375765"/>
    <w:rsid w:val="003765ED"/>
    <w:rsid w:val="00376DC4"/>
    <w:rsid w:val="003800CB"/>
    <w:rsid w:val="0038138B"/>
    <w:rsid w:val="00383A36"/>
    <w:rsid w:val="003853E9"/>
    <w:rsid w:val="00390362"/>
    <w:rsid w:val="00390525"/>
    <w:rsid w:val="00391879"/>
    <w:rsid w:val="00391B23"/>
    <w:rsid w:val="00392CE5"/>
    <w:rsid w:val="00394EBE"/>
    <w:rsid w:val="00396B0A"/>
    <w:rsid w:val="00396E6B"/>
    <w:rsid w:val="00397C83"/>
    <w:rsid w:val="003A1CCF"/>
    <w:rsid w:val="003A1CFB"/>
    <w:rsid w:val="003A2260"/>
    <w:rsid w:val="003A26F4"/>
    <w:rsid w:val="003A5747"/>
    <w:rsid w:val="003A6168"/>
    <w:rsid w:val="003B2F80"/>
    <w:rsid w:val="003B4A1F"/>
    <w:rsid w:val="003B5796"/>
    <w:rsid w:val="003C12B7"/>
    <w:rsid w:val="003C2541"/>
    <w:rsid w:val="003C7C9A"/>
    <w:rsid w:val="003D00EF"/>
    <w:rsid w:val="003E1172"/>
    <w:rsid w:val="003E1746"/>
    <w:rsid w:val="003E2FC2"/>
    <w:rsid w:val="003E6597"/>
    <w:rsid w:val="003F1089"/>
    <w:rsid w:val="003F2672"/>
    <w:rsid w:val="003F2962"/>
    <w:rsid w:val="003F2F6E"/>
    <w:rsid w:val="003F3920"/>
    <w:rsid w:val="003F3E3E"/>
    <w:rsid w:val="003F56A7"/>
    <w:rsid w:val="004019DE"/>
    <w:rsid w:val="0040227B"/>
    <w:rsid w:val="004031C2"/>
    <w:rsid w:val="00412705"/>
    <w:rsid w:val="004147C8"/>
    <w:rsid w:val="00414CCF"/>
    <w:rsid w:val="00415EEB"/>
    <w:rsid w:val="0041680F"/>
    <w:rsid w:val="004171F6"/>
    <w:rsid w:val="0042053D"/>
    <w:rsid w:val="00420CB6"/>
    <w:rsid w:val="00422E98"/>
    <w:rsid w:val="00423469"/>
    <w:rsid w:val="00425D87"/>
    <w:rsid w:val="00425F9A"/>
    <w:rsid w:val="00432B7E"/>
    <w:rsid w:val="004334B5"/>
    <w:rsid w:val="00434C9F"/>
    <w:rsid w:val="004371B4"/>
    <w:rsid w:val="00437B5C"/>
    <w:rsid w:val="00437E21"/>
    <w:rsid w:val="00440029"/>
    <w:rsid w:val="004417AC"/>
    <w:rsid w:val="00443241"/>
    <w:rsid w:val="0044547C"/>
    <w:rsid w:val="004454AF"/>
    <w:rsid w:val="004479F0"/>
    <w:rsid w:val="00452141"/>
    <w:rsid w:val="00453BD8"/>
    <w:rsid w:val="0046575D"/>
    <w:rsid w:val="004674AB"/>
    <w:rsid w:val="00467EA8"/>
    <w:rsid w:val="00471259"/>
    <w:rsid w:val="00472D05"/>
    <w:rsid w:val="00473098"/>
    <w:rsid w:val="00473111"/>
    <w:rsid w:val="00474FC0"/>
    <w:rsid w:val="00476DFE"/>
    <w:rsid w:val="00485FC0"/>
    <w:rsid w:val="00487090"/>
    <w:rsid w:val="00487904"/>
    <w:rsid w:val="004904C0"/>
    <w:rsid w:val="0049722E"/>
    <w:rsid w:val="00497315"/>
    <w:rsid w:val="0049799B"/>
    <w:rsid w:val="004A0E24"/>
    <w:rsid w:val="004A190B"/>
    <w:rsid w:val="004A46BA"/>
    <w:rsid w:val="004A4B99"/>
    <w:rsid w:val="004A5944"/>
    <w:rsid w:val="004A7F00"/>
    <w:rsid w:val="004B16BE"/>
    <w:rsid w:val="004B3B77"/>
    <w:rsid w:val="004B5FD0"/>
    <w:rsid w:val="004B7794"/>
    <w:rsid w:val="004C0136"/>
    <w:rsid w:val="004C0CAC"/>
    <w:rsid w:val="004C41D7"/>
    <w:rsid w:val="004C48B1"/>
    <w:rsid w:val="004C4F5C"/>
    <w:rsid w:val="004C5895"/>
    <w:rsid w:val="004C5AFD"/>
    <w:rsid w:val="004C70CC"/>
    <w:rsid w:val="004D03B3"/>
    <w:rsid w:val="004D0E36"/>
    <w:rsid w:val="004D2B1D"/>
    <w:rsid w:val="004D4173"/>
    <w:rsid w:val="004D5CFD"/>
    <w:rsid w:val="004D6EA1"/>
    <w:rsid w:val="004D7CF5"/>
    <w:rsid w:val="004E0F09"/>
    <w:rsid w:val="004E3042"/>
    <w:rsid w:val="004E41C2"/>
    <w:rsid w:val="004E460C"/>
    <w:rsid w:val="004E6318"/>
    <w:rsid w:val="004E6BCA"/>
    <w:rsid w:val="004E7DA0"/>
    <w:rsid w:val="004F11CE"/>
    <w:rsid w:val="004F204E"/>
    <w:rsid w:val="004F3D39"/>
    <w:rsid w:val="004F4538"/>
    <w:rsid w:val="00501AF9"/>
    <w:rsid w:val="00504935"/>
    <w:rsid w:val="00506F2F"/>
    <w:rsid w:val="00507533"/>
    <w:rsid w:val="005112D5"/>
    <w:rsid w:val="00513EE7"/>
    <w:rsid w:val="005167D5"/>
    <w:rsid w:val="00516B61"/>
    <w:rsid w:val="00516FB0"/>
    <w:rsid w:val="00517404"/>
    <w:rsid w:val="005233BE"/>
    <w:rsid w:val="00524896"/>
    <w:rsid w:val="00524999"/>
    <w:rsid w:val="00524E66"/>
    <w:rsid w:val="0052564C"/>
    <w:rsid w:val="00526DA3"/>
    <w:rsid w:val="00530E90"/>
    <w:rsid w:val="005316A4"/>
    <w:rsid w:val="00535044"/>
    <w:rsid w:val="00537D4D"/>
    <w:rsid w:val="00540700"/>
    <w:rsid w:val="00540DA1"/>
    <w:rsid w:val="00541CD5"/>
    <w:rsid w:val="00547440"/>
    <w:rsid w:val="00550890"/>
    <w:rsid w:val="005509A3"/>
    <w:rsid w:val="005523F8"/>
    <w:rsid w:val="00553181"/>
    <w:rsid w:val="005579CE"/>
    <w:rsid w:val="00561461"/>
    <w:rsid w:val="00562C6F"/>
    <w:rsid w:val="005734EA"/>
    <w:rsid w:val="00573FD3"/>
    <w:rsid w:val="00574752"/>
    <w:rsid w:val="0057495B"/>
    <w:rsid w:val="00580A46"/>
    <w:rsid w:val="00581896"/>
    <w:rsid w:val="0058428E"/>
    <w:rsid w:val="005900A9"/>
    <w:rsid w:val="00591BE3"/>
    <w:rsid w:val="0059208C"/>
    <w:rsid w:val="00592DAB"/>
    <w:rsid w:val="00593EFF"/>
    <w:rsid w:val="00596ECF"/>
    <w:rsid w:val="005A43CD"/>
    <w:rsid w:val="005A737B"/>
    <w:rsid w:val="005B30D0"/>
    <w:rsid w:val="005B750F"/>
    <w:rsid w:val="005C1731"/>
    <w:rsid w:val="005C3A96"/>
    <w:rsid w:val="005C6CD1"/>
    <w:rsid w:val="005C7922"/>
    <w:rsid w:val="005D05AF"/>
    <w:rsid w:val="005D40A0"/>
    <w:rsid w:val="005D7ED8"/>
    <w:rsid w:val="005E136E"/>
    <w:rsid w:val="005E15D8"/>
    <w:rsid w:val="005E1A94"/>
    <w:rsid w:val="005E3777"/>
    <w:rsid w:val="005E5027"/>
    <w:rsid w:val="005E67C3"/>
    <w:rsid w:val="005F5C4B"/>
    <w:rsid w:val="005F6411"/>
    <w:rsid w:val="0060096E"/>
    <w:rsid w:val="00600B00"/>
    <w:rsid w:val="00604981"/>
    <w:rsid w:val="00604A59"/>
    <w:rsid w:val="00604E93"/>
    <w:rsid w:val="00605505"/>
    <w:rsid w:val="00606D09"/>
    <w:rsid w:val="0060742C"/>
    <w:rsid w:val="00607E67"/>
    <w:rsid w:val="00611C69"/>
    <w:rsid w:val="00612640"/>
    <w:rsid w:val="006147A1"/>
    <w:rsid w:val="00615CE9"/>
    <w:rsid w:val="00616877"/>
    <w:rsid w:val="00621011"/>
    <w:rsid w:val="006212AE"/>
    <w:rsid w:val="00624469"/>
    <w:rsid w:val="00625C18"/>
    <w:rsid w:val="00627558"/>
    <w:rsid w:val="006315E2"/>
    <w:rsid w:val="0063478E"/>
    <w:rsid w:val="00635088"/>
    <w:rsid w:val="00635D9A"/>
    <w:rsid w:val="00636324"/>
    <w:rsid w:val="00643792"/>
    <w:rsid w:val="006443DD"/>
    <w:rsid w:val="00644FDD"/>
    <w:rsid w:val="00650835"/>
    <w:rsid w:val="00652C34"/>
    <w:rsid w:val="00655B03"/>
    <w:rsid w:val="0066064D"/>
    <w:rsid w:val="006616F2"/>
    <w:rsid w:val="00663E9E"/>
    <w:rsid w:val="006640F2"/>
    <w:rsid w:val="00667272"/>
    <w:rsid w:val="006708D9"/>
    <w:rsid w:val="00670FE3"/>
    <w:rsid w:val="006716D3"/>
    <w:rsid w:val="0067209F"/>
    <w:rsid w:val="00673826"/>
    <w:rsid w:val="006751C4"/>
    <w:rsid w:val="00675364"/>
    <w:rsid w:val="00676433"/>
    <w:rsid w:val="00685CD6"/>
    <w:rsid w:val="006867E8"/>
    <w:rsid w:val="00687B60"/>
    <w:rsid w:val="00692D7B"/>
    <w:rsid w:val="006A0B54"/>
    <w:rsid w:val="006A51BD"/>
    <w:rsid w:val="006A564A"/>
    <w:rsid w:val="006A74FB"/>
    <w:rsid w:val="006B2511"/>
    <w:rsid w:val="006B44BB"/>
    <w:rsid w:val="006C3080"/>
    <w:rsid w:val="006C524A"/>
    <w:rsid w:val="006C66A0"/>
    <w:rsid w:val="006D42E0"/>
    <w:rsid w:val="006D4815"/>
    <w:rsid w:val="006D72C2"/>
    <w:rsid w:val="006E0589"/>
    <w:rsid w:val="006E1328"/>
    <w:rsid w:val="006E258E"/>
    <w:rsid w:val="006E56FF"/>
    <w:rsid w:val="006E753B"/>
    <w:rsid w:val="006F0FD2"/>
    <w:rsid w:val="006F11B0"/>
    <w:rsid w:val="006F15AE"/>
    <w:rsid w:val="006F2A39"/>
    <w:rsid w:val="006F5034"/>
    <w:rsid w:val="00700172"/>
    <w:rsid w:val="00704275"/>
    <w:rsid w:val="00707AF4"/>
    <w:rsid w:val="00711A9B"/>
    <w:rsid w:val="007126EC"/>
    <w:rsid w:val="00712944"/>
    <w:rsid w:val="00712B04"/>
    <w:rsid w:val="00714679"/>
    <w:rsid w:val="00716171"/>
    <w:rsid w:val="00721400"/>
    <w:rsid w:val="00721CC8"/>
    <w:rsid w:val="00725420"/>
    <w:rsid w:val="00725D42"/>
    <w:rsid w:val="00727BB1"/>
    <w:rsid w:val="00732513"/>
    <w:rsid w:val="007334A5"/>
    <w:rsid w:val="007336EC"/>
    <w:rsid w:val="00740FF5"/>
    <w:rsid w:val="0074177E"/>
    <w:rsid w:val="00742F95"/>
    <w:rsid w:val="00750A48"/>
    <w:rsid w:val="00751430"/>
    <w:rsid w:val="00755A51"/>
    <w:rsid w:val="00755B2A"/>
    <w:rsid w:val="007574B1"/>
    <w:rsid w:val="00761F14"/>
    <w:rsid w:val="007628FB"/>
    <w:rsid w:val="00762AAB"/>
    <w:rsid w:val="00762DAA"/>
    <w:rsid w:val="00762EBE"/>
    <w:rsid w:val="00765BF3"/>
    <w:rsid w:val="0076687E"/>
    <w:rsid w:val="00767C5E"/>
    <w:rsid w:val="00770308"/>
    <w:rsid w:val="007703A1"/>
    <w:rsid w:val="00771A08"/>
    <w:rsid w:val="00772358"/>
    <w:rsid w:val="00773820"/>
    <w:rsid w:val="007803D8"/>
    <w:rsid w:val="007840F4"/>
    <w:rsid w:val="00785BF7"/>
    <w:rsid w:val="00786DA3"/>
    <w:rsid w:val="00787C0F"/>
    <w:rsid w:val="00790CB9"/>
    <w:rsid w:val="00793925"/>
    <w:rsid w:val="007964D0"/>
    <w:rsid w:val="007977BE"/>
    <w:rsid w:val="007A0ABB"/>
    <w:rsid w:val="007B10B5"/>
    <w:rsid w:val="007B1CDD"/>
    <w:rsid w:val="007B24F2"/>
    <w:rsid w:val="007B297C"/>
    <w:rsid w:val="007B2A92"/>
    <w:rsid w:val="007B53DA"/>
    <w:rsid w:val="007B7ABA"/>
    <w:rsid w:val="007C06D3"/>
    <w:rsid w:val="007C433A"/>
    <w:rsid w:val="007C7ED6"/>
    <w:rsid w:val="007D1D76"/>
    <w:rsid w:val="007D293B"/>
    <w:rsid w:val="007D2953"/>
    <w:rsid w:val="007E5971"/>
    <w:rsid w:val="007E59E5"/>
    <w:rsid w:val="007E6D40"/>
    <w:rsid w:val="007F058E"/>
    <w:rsid w:val="007F7126"/>
    <w:rsid w:val="00800A33"/>
    <w:rsid w:val="00802318"/>
    <w:rsid w:val="0080501E"/>
    <w:rsid w:val="00810A00"/>
    <w:rsid w:val="00812AD0"/>
    <w:rsid w:val="008146A4"/>
    <w:rsid w:val="008155AF"/>
    <w:rsid w:val="00815A52"/>
    <w:rsid w:val="00817228"/>
    <w:rsid w:val="00817530"/>
    <w:rsid w:val="00817D52"/>
    <w:rsid w:val="008219D3"/>
    <w:rsid w:val="00821E35"/>
    <w:rsid w:val="00822DAF"/>
    <w:rsid w:val="00824CA3"/>
    <w:rsid w:val="008263C1"/>
    <w:rsid w:val="00826A4A"/>
    <w:rsid w:val="00831039"/>
    <w:rsid w:val="00831C22"/>
    <w:rsid w:val="00833514"/>
    <w:rsid w:val="00833B7A"/>
    <w:rsid w:val="00841B5E"/>
    <w:rsid w:val="0084243E"/>
    <w:rsid w:val="00844441"/>
    <w:rsid w:val="00844823"/>
    <w:rsid w:val="00845474"/>
    <w:rsid w:val="00845CDA"/>
    <w:rsid w:val="008462EB"/>
    <w:rsid w:val="00851115"/>
    <w:rsid w:val="00854C02"/>
    <w:rsid w:val="00861DAB"/>
    <w:rsid w:val="00862B67"/>
    <w:rsid w:val="00867FB1"/>
    <w:rsid w:val="008728B7"/>
    <w:rsid w:val="00872D4B"/>
    <w:rsid w:val="008739D5"/>
    <w:rsid w:val="00874A6F"/>
    <w:rsid w:val="008777E1"/>
    <w:rsid w:val="00880FC3"/>
    <w:rsid w:val="008836E7"/>
    <w:rsid w:val="00884053"/>
    <w:rsid w:val="00885C30"/>
    <w:rsid w:val="00887E52"/>
    <w:rsid w:val="00890E9A"/>
    <w:rsid w:val="008918C1"/>
    <w:rsid w:val="00894FB9"/>
    <w:rsid w:val="00895613"/>
    <w:rsid w:val="00895818"/>
    <w:rsid w:val="00896092"/>
    <w:rsid w:val="0089732E"/>
    <w:rsid w:val="00897890"/>
    <w:rsid w:val="008A30AB"/>
    <w:rsid w:val="008A4E8D"/>
    <w:rsid w:val="008B1674"/>
    <w:rsid w:val="008B3376"/>
    <w:rsid w:val="008B4CB9"/>
    <w:rsid w:val="008B5106"/>
    <w:rsid w:val="008B6D24"/>
    <w:rsid w:val="008B7220"/>
    <w:rsid w:val="008C1534"/>
    <w:rsid w:val="008C283E"/>
    <w:rsid w:val="008C5641"/>
    <w:rsid w:val="008C75B7"/>
    <w:rsid w:val="008D2710"/>
    <w:rsid w:val="008E0A24"/>
    <w:rsid w:val="008E2AE3"/>
    <w:rsid w:val="008E2C80"/>
    <w:rsid w:val="008E3471"/>
    <w:rsid w:val="008E50BA"/>
    <w:rsid w:val="008E6A9D"/>
    <w:rsid w:val="008E7D9E"/>
    <w:rsid w:val="008F17F5"/>
    <w:rsid w:val="008F4086"/>
    <w:rsid w:val="008F7955"/>
    <w:rsid w:val="00900B45"/>
    <w:rsid w:val="00901415"/>
    <w:rsid w:val="00902E9D"/>
    <w:rsid w:val="00904793"/>
    <w:rsid w:val="00905E38"/>
    <w:rsid w:val="00906A15"/>
    <w:rsid w:val="009155BB"/>
    <w:rsid w:val="00915DA8"/>
    <w:rsid w:val="00916A37"/>
    <w:rsid w:val="00923275"/>
    <w:rsid w:val="0092666B"/>
    <w:rsid w:val="009269E0"/>
    <w:rsid w:val="00926AF2"/>
    <w:rsid w:val="00927CD4"/>
    <w:rsid w:val="009306A8"/>
    <w:rsid w:val="0093216F"/>
    <w:rsid w:val="0093683D"/>
    <w:rsid w:val="00936A83"/>
    <w:rsid w:val="00940E78"/>
    <w:rsid w:val="00950AD9"/>
    <w:rsid w:val="00950E8D"/>
    <w:rsid w:val="00953D0D"/>
    <w:rsid w:val="0095413D"/>
    <w:rsid w:val="00963316"/>
    <w:rsid w:val="009635AE"/>
    <w:rsid w:val="00965414"/>
    <w:rsid w:val="00966729"/>
    <w:rsid w:val="00966D7A"/>
    <w:rsid w:val="00975EBF"/>
    <w:rsid w:val="009762D7"/>
    <w:rsid w:val="00981358"/>
    <w:rsid w:val="00986ADB"/>
    <w:rsid w:val="0098799F"/>
    <w:rsid w:val="00992620"/>
    <w:rsid w:val="0099292B"/>
    <w:rsid w:val="00995A08"/>
    <w:rsid w:val="00996A3B"/>
    <w:rsid w:val="00996BB0"/>
    <w:rsid w:val="0099701F"/>
    <w:rsid w:val="009A005E"/>
    <w:rsid w:val="009A0184"/>
    <w:rsid w:val="009A0706"/>
    <w:rsid w:val="009A31CC"/>
    <w:rsid w:val="009A3BE9"/>
    <w:rsid w:val="009B0CF2"/>
    <w:rsid w:val="009B368A"/>
    <w:rsid w:val="009B7727"/>
    <w:rsid w:val="009B7BDB"/>
    <w:rsid w:val="009C13E5"/>
    <w:rsid w:val="009C1E4F"/>
    <w:rsid w:val="009C2819"/>
    <w:rsid w:val="009C2E2F"/>
    <w:rsid w:val="009C6858"/>
    <w:rsid w:val="009C69E0"/>
    <w:rsid w:val="009C7BCA"/>
    <w:rsid w:val="009D0AEF"/>
    <w:rsid w:val="009D29E9"/>
    <w:rsid w:val="009D4BB9"/>
    <w:rsid w:val="009D4D6A"/>
    <w:rsid w:val="009D5419"/>
    <w:rsid w:val="009E3F83"/>
    <w:rsid w:val="009E5C51"/>
    <w:rsid w:val="009E6614"/>
    <w:rsid w:val="009F1B0D"/>
    <w:rsid w:val="00A032FB"/>
    <w:rsid w:val="00A03F98"/>
    <w:rsid w:val="00A04297"/>
    <w:rsid w:val="00A04A00"/>
    <w:rsid w:val="00A06FCA"/>
    <w:rsid w:val="00A07D43"/>
    <w:rsid w:val="00A16DF1"/>
    <w:rsid w:val="00A2016D"/>
    <w:rsid w:val="00A203AC"/>
    <w:rsid w:val="00A25BC4"/>
    <w:rsid w:val="00A2707D"/>
    <w:rsid w:val="00A3130F"/>
    <w:rsid w:val="00A361BF"/>
    <w:rsid w:val="00A37BA0"/>
    <w:rsid w:val="00A47FC0"/>
    <w:rsid w:val="00A52CAE"/>
    <w:rsid w:val="00A53981"/>
    <w:rsid w:val="00A53BF3"/>
    <w:rsid w:val="00A573C5"/>
    <w:rsid w:val="00A60219"/>
    <w:rsid w:val="00A61780"/>
    <w:rsid w:val="00A61962"/>
    <w:rsid w:val="00A61CC3"/>
    <w:rsid w:val="00A628C8"/>
    <w:rsid w:val="00A6422D"/>
    <w:rsid w:val="00A65725"/>
    <w:rsid w:val="00A66FD6"/>
    <w:rsid w:val="00A674C4"/>
    <w:rsid w:val="00A6781B"/>
    <w:rsid w:val="00A750E9"/>
    <w:rsid w:val="00A76432"/>
    <w:rsid w:val="00A8371B"/>
    <w:rsid w:val="00A83A85"/>
    <w:rsid w:val="00A84FDB"/>
    <w:rsid w:val="00A864FE"/>
    <w:rsid w:val="00A86827"/>
    <w:rsid w:val="00A90E6D"/>
    <w:rsid w:val="00A92AA3"/>
    <w:rsid w:val="00A93EF7"/>
    <w:rsid w:val="00A95643"/>
    <w:rsid w:val="00A96E48"/>
    <w:rsid w:val="00AA1F2D"/>
    <w:rsid w:val="00AA443F"/>
    <w:rsid w:val="00AA765E"/>
    <w:rsid w:val="00AB0B02"/>
    <w:rsid w:val="00AB12ED"/>
    <w:rsid w:val="00AB191B"/>
    <w:rsid w:val="00AB1C1B"/>
    <w:rsid w:val="00AB2754"/>
    <w:rsid w:val="00AB27F6"/>
    <w:rsid w:val="00AB7545"/>
    <w:rsid w:val="00AB7AC6"/>
    <w:rsid w:val="00AC2AFB"/>
    <w:rsid w:val="00AC5E5A"/>
    <w:rsid w:val="00AD03AD"/>
    <w:rsid w:val="00AD12EB"/>
    <w:rsid w:val="00AD236A"/>
    <w:rsid w:val="00AD2DB9"/>
    <w:rsid w:val="00AD4FFF"/>
    <w:rsid w:val="00AD7752"/>
    <w:rsid w:val="00AE0486"/>
    <w:rsid w:val="00AE538F"/>
    <w:rsid w:val="00AE5AE9"/>
    <w:rsid w:val="00AE6D05"/>
    <w:rsid w:val="00AF7BE8"/>
    <w:rsid w:val="00B00BA3"/>
    <w:rsid w:val="00B00EC8"/>
    <w:rsid w:val="00B071BC"/>
    <w:rsid w:val="00B134F5"/>
    <w:rsid w:val="00B14CFF"/>
    <w:rsid w:val="00B15075"/>
    <w:rsid w:val="00B2336B"/>
    <w:rsid w:val="00B23919"/>
    <w:rsid w:val="00B25E6E"/>
    <w:rsid w:val="00B2658C"/>
    <w:rsid w:val="00B276F3"/>
    <w:rsid w:val="00B30279"/>
    <w:rsid w:val="00B42B30"/>
    <w:rsid w:val="00B444B5"/>
    <w:rsid w:val="00B458CC"/>
    <w:rsid w:val="00B45B60"/>
    <w:rsid w:val="00B45F34"/>
    <w:rsid w:val="00B4610B"/>
    <w:rsid w:val="00B4697B"/>
    <w:rsid w:val="00B512D5"/>
    <w:rsid w:val="00B52D72"/>
    <w:rsid w:val="00B54D32"/>
    <w:rsid w:val="00B60D53"/>
    <w:rsid w:val="00B61215"/>
    <w:rsid w:val="00B633AA"/>
    <w:rsid w:val="00B63D98"/>
    <w:rsid w:val="00B63FF3"/>
    <w:rsid w:val="00B72411"/>
    <w:rsid w:val="00B7683D"/>
    <w:rsid w:val="00B778AF"/>
    <w:rsid w:val="00B83A24"/>
    <w:rsid w:val="00B842EE"/>
    <w:rsid w:val="00B85A2A"/>
    <w:rsid w:val="00B85EFB"/>
    <w:rsid w:val="00B8688C"/>
    <w:rsid w:val="00B87999"/>
    <w:rsid w:val="00B90E3A"/>
    <w:rsid w:val="00B914D8"/>
    <w:rsid w:val="00B95353"/>
    <w:rsid w:val="00B96A81"/>
    <w:rsid w:val="00BA0AB6"/>
    <w:rsid w:val="00BA5E0F"/>
    <w:rsid w:val="00BA7FBC"/>
    <w:rsid w:val="00BB1A4E"/>
    <w:rsid w:val="00BB52F3"/>
    <w:rsid w:val="00BB6CF7"/>
    <w:rsid w:val="00BB7868"/>
    <w:rsid w:val="00BC1B82"/>
    <w:rsid w:val="00BC1EEF"/>
    <w:rsid w:val="00BC244E"/>
    <w:rsid w:val="00BC4D5E"/>
    <w:rsid w:val="00BC6281"/>
    <w:rsid w:val="00BD02F8"/>
    <w:rsid w:val="00BD0E0E"/>
    <w:rsid w:val="00BD446D"/>
    <w:rsid w:val="00BD489B"/>
    <w:rsid w:val="00BD4CEF"/>
    <w:rsid w:val="00BD62F9"/>
    <w:rsid w:val="00BD6403"/>
    <w:rsid w:val="00BD6A65"/>
    <w:rsid w:val="00BE124A"/>
    <w:rsid w:val="00BE19E4"/>
    <w:rsid w:val="00BE32E2"/>
    <w:rsid w:val="00BE3B47"/>
    <w:rsid w:val="00BE46AA"/>
    <w:rsid w:val="00BE7098"/>
    <w:rsid w:val="00BE7E8E"/>
    <w:rsid w:val="00BF0721"/>
    <w:rsid w:val="00BF1138"/>
    <w:rsid w:val="00BF27F7"/>
    <w:rsid w:val="00BF56DB"/>
    <w:rsid w:val="00BF633A"/>
    <w:rsid w:val="00C01738"/>
    <w:rsid w:val="00C04668"/>
    <w:rsid w:val="00C05E39"/>
    <w:rsid w:val="00C067A0"/>
    <w:rsid w:val="00C11986"/>
    <w:rsid w:val="00C132D8"/>
    <w:rsid w:val="00C142E1"/>
    <w:rsid w:val="00C14D1B"/>
    <w:rsid w:val="00C15DDC"/>
    <w:rsid w:val="00C162B2"/>
    <w:rsid w:val="00C17019"/>
    <w:rsid w:val="00C173C1"/>
    <w:rsid w:val="00C173D5"/>
    <w:rsid w:val="00C17485"/>
    <w:rsid w:val="00C21A5A"/>
    <w:rsid w:val="00C243E0"/>
    <w:rsid w:val="00C25366"/>
    <w:rsid w:val="00C272E3"/>
    <w:rsid w:val="00C276DC"/>
    <w:rsid w:val="00C30942"/>
    <w:rsid w:val="00C324AB"/>
    <w:rsid w:val="00C325ED"/>
    <w:rsid w:val="00C34212"/>
    <w:rsid w:val="00C40AA0"/>
    <w:rsid w:val="00C41D10"/>
    <w:rsid w:val="00C4486F"/>
    <w:rsid w:val="00C45DD8"/>
    <w:rsid w:val="00C46CD8"/>
    <w:rsid w:val="00C532B8"/>
    <w:rsid w:val="00C57710"/>
    <w:rsid w:val="00C57DB4"/>
    <w:rsid w:val="00C620C7"/>
    <w:rsid w:val="00C6451B"/>
    <w:rsid w:val="00C650BC"/>
    <w:rsid w:val="00C66142"/>
    <w:rsid w:val="00C67FC9"/>
    <w:rsid w:val="00C7109D"/>
    <w:rsid w:val="00C712A5"/>
    <w:rsid w:val="00C744F9"/>
    <w:rsid w:val="00C7506D"/>
    <w:rsid w:val="00C77247"/>
    <w:rsid w:val="00C84BA9"/>
    <w:rsid w:val="00C8796D"/>
    <w:rsid w:val="00C902CD"/>
    <w:rsid w:val="00C911E5"/>
    <w:rsid w:val="00C91ABE"/>
    <w:rsid w:val="00C94891"/>
    <w:rsid w:val="00C94B2B"/>
    <w:rsid w:val="00C95816"/>
    <w:rsid w:val="00C95A19"/>
    <w:rsid w:val="00C96D55"/>
    <w:rsid w:val="00C971AF"/>
    <w:rsid w:val="00CA0321"/>
    <w:rsid w:val="00CA24B0"/>
    <w:rsid w:val="00CA2F83"/>
    <w:rsid w:val="00CA5781"/>
    <w:rsid w:val="00CA59D4"/>
    <w:rsid w:val="00CB0664"/>
    <w:rsid w:val="00CB3A43"/>
    <w:rsid w:val="00CB7AF1"/>
    <w:rsid w:val="00CD28C4"/>
    <w:rsid w:val="00CD426D"/>
    <w:rsid w:val="00CD55D1"/>
    <w:rsid w:val="00CD63C8"/>
    <w:rsid w:val="00CE2857"/>
    <w:rsid w:val="00CE3D26"/>
    <w:rsid w:val="00CE41A3"/>
    <w:rsid w:val="00CE771C"/>
    <w:rsid w:val="00CF2A8A"/>
    <w:rsid w:val="00CF6239"/>
    <w:rsid w:val="00CF77D9"/>
    <w:rsid w:val="00D01AAE"/>
    <w:rsid w:val="00D0325A"/>
    <w:rsid w:val="00D04632"/>
    <w:rsid w:val="00D1473E"/>
    <w:rsid w:val="00D148F4"/>
    <w:rsid w:val="00D14FB6"/>
    <w:rsid w:val="00D15994"/>
    <w:rsid w:val="00D202BE"/>
    <w:rsid w:val="00D20DEC"/>
    <w:rsid w:val="00D231FA"/>
    <w:rsid w:val="00D272B2"/>
    <w:rsid w:val="00D275DA"/>
    <w:rsid w:val="00D3150F"/>
    <w:rsid w:val="00D3193D"/>
    <w:rsid w:val="00D35164"/>
    <w:rsid w:val="00D3598B"/>
    <w:rsid w:val="00D36D90"/>
    <w:rsid w:val="00D40B23"/>
    <w:rsid w:val="00D44BCC"/>
    <w:rsid w:val="00D46357"/>
    <w:rsid w:val="00D47506"/>
    <w:rsid w:val="00D51AFE"/>
    <w:rsid w:val="00D52698"/>
    <w:rsid w:val="00D52EEE"/>
    <w:rsid w:val="00D56681"/>
    <w:rsid w:val="00D56A93"/>
    <w:rsid w:val="00D6077D"/>
    <w:rsid w:val="00D6081D"/>
    <w:rsid w:val="00D6138F"/>
    <w:rsid w:val="00D61F50"/>
    <w:rsid w:val="00D63D38"/>
    <w:rsid w:val="00D651B1"/>
    <w:rsid w:val="00D7159C"/>
    <w:rsid w:val="00D7173F"/>
    <w:rsid w:val="00D71C1E"/>
    <w:rsid w:val="00D72759"/>
    <w:rsid w:val="00D7433F"/>
    <w:rsid w:val="00D74FA9"/>
    <w:rsid w:val="00D779EE"/>
    <w:rsid w:val="00D811C8"/>
    <w:rsid w:val="00D8291B"/>
    <w:rsid w:val="00D82965"/>
    <w:rsid w:val="00D8571A"/>
    <w:rsid w:val="00D86AD6"/>
    <w:rsid w:val="00D87C0C"/>
    <w:rsid w:val="00D937B6"/>
    <w:rsid w:val="00DA03B4"/>
    <w:rsid w:val="00DA1CFC"/>
    <w:rsid w:val="00DA4BB3"/>
    <w:rsid w:val="00DA7D4F"/>
    <w:rsid w:val="00DB10AA"/>
    <w:rsid w:val="00DB7262"/>
    <w:rsid w:val="00DB7A56"/>
    <w:rsid w:val="00DC5CA6"/>
    <w:rsid w:val="00DC7D42"/>
    <w:rsid w:val="00DD1150"/>
    <w:rsid w:val="00DD1B6A"/>
    <w:rsid w:val="00DD36CD"/>
    <w:rsid w:val="00DD3D67"/>
    <w:rsid w:val="00DD5988"/>
    <w:rsid w:val="00DE0697"/>
    <w:rsid w:val="00DE3298"/>
    <w:rsid w:val="00DE33FB"/>
    <w:rsid w:val="00DE46A8"/>
    <w:rsid w:val="00DE5A3F"/>
    <w:rsid w:val="00DE6E59"/>
    <w:rsid w:val="00DE7F76"/>
    <w:rsid w:val="00DF1A82"/>
    <w:rsid w:val="00DF60BA"/>
    <w:rsid w:val="00DF67A4"/>
    <w:rsid w:val="00E0095E"/>
    <w:rsid w:val="00E05869"/>
    <w:rsid w:val="00E06A20"/>
    <w:rsid w:val="00E06BFD"/>
    <w:rsid w:val="00E11C86"/>
    <w:rsid w:val="00E12896"/>
    <w:rsid w:val="00E13021"/>
    <w:rsid w:val="00E1719B"/>
    <w:rsid w:val="00E2384B"/>
    <w:rsid w:val="00E33128"/>
    <w:rsid w:val="00E34676"/>
    <w:rsid w:val="00E40976"/>
    <w:rsid w:val="00E43B19"/>
    <w:rsid w:val="00E44673"/>
    <w:rsid w:val="00E563B3"/>
    <w:rsid w:val="00E56D20"/>
    <w:rsid w:val="00E630BB"/>
    <w:rsid w:val="00E637D0"/>
    <w:rsid w:val="00E647B6"/>
    <w:rsid w:val="00E6494D"/>
    <w:rsid w:val="00E701C0"/>
    <w:rsid w:val="00E70663"/>
    <w:rsid w:val="00E716A3"/>
    <w:rsid w:val="00E716D9"/>
    <w:rsid w:val="00E71F21"/>
    <w:rsid w:val="00E720F6"/>
    <w:rsid w:val="00E72E07"/>
    <w:rsid w:val="00E74743"/>
    <w:rsid w:val="00E7594B"/>
    <w:rsid w:val="00E762B2"/>
    <w:rsid w:val="00E7694C"/>
    <w:rsid w:val="00E775AB"/>
    <w:rsid w:val="00E824E1"/>
    <w:rsid w:val="00E830E3"/>
    <w:rsid w:val="00E83999"/>
    <w:rsid w:val="00E844A5"/>
    <w:rsid w:val="00E8453E"/>
    <w:rsid w:val="00E845F6"/>
    <w:rsid w:val="00E85871"/>
    <w:rsid w:val="00E86FEF"/>
    <w:rsid w:val="00E951C0"/>
    <w:rsid w:val="00EA03D1"/>
    <w:rsid w:val="00EA4478"/>
    <w:rsid w:val="00EB0D4D"/>
    <w:rsid w:val="00EB0E7F"/>
    <w:rsid w:val="00EB7E48"/>
    <w:rsid w:val="00EC099C"/>
    <w:rsid w:val="00EC285C"/>
    <w:rsid w:val="00EC58F8"/>
    <w:rsid w:val="00ED27B0"/>
    <w:rsid w:val="00ED3376"/>
    <w:rsid w:val="00ED489D"/>
    <w:rsid w:val="00EE099A"/>
    <w:rsid w:val="00EE1123"/>
    <w:rsid w:val="00EE38DB"/>
    <w:rsid w:val="00EE6193"/>
    <w:rsid w:val="00EE6A04"/>
    <w:rsid w:val="00EF188D"/>
    <w:rsid w:val="00EF481D"/>
    <w:rsid w:val="00EF61D1"/>
    <w:rsid w:val="00EF6783"/>
    <w:rsid w:val="00F01D8D"/>
    <w:rsid w:val="00F020E0"/>
    <w:rsid w:val="00F04C4F"/>
    <w:rsid w:val="00F06EAC"/>
    <w:rsid w:val="00F06F35"/>
    <w:rsid w:val="00F075D9"/>
    <w:rsid w:val="00F079AB"/>
    <w:rsid w:val="00F120D6"/>
    <w:rsid w:val="00F1530B"/>
    <w:rsid w:val="00F15B28"/>
    <w:rsid w:val="00F20E24"/>
    <w:rsid w:val="00F220F1"/>
    <w:rsid w:val="00F2576B"/>
    <w:rsid w:val="00F30DF7"/>
    <w:rsid w:val="00F34E74"/>
    <w:rsid w:val="00F3665E"/>
    <w:rsid w:val="00F400B6"/>
    <w:rsid w:val="00F40FEE"/>
    <w:rsid w:val="00F4433C"/>
    <w:rsid w:val="00F4784D"/>
    <w:rsid w:val="00F51E85"/>
    <w:rsid w:val="00F53E50"/>
    <w:rsid w:val="00F54029"/>
    <w:rsid w:val="00F54C37"/>
    <w:rsid w:val="00F54D1B"/>
    <w:rsid w:val="00F55D0A"/>
    <w:rsid w:val="00F57303"/>
    <w:rsid w:val="00F57514"/>
    <w:rsid w:val="00F57F81"/>
    <w:rsid w:val="00F638F5"/>
    <w:rsid w:val="00F653E8"/>
    <w:rsid w:val="00F66D41"/>
    <w:rsid w:val="00F704F7"/>
    <w:rsid w:val="00F70BED"/>
    <w:rsid w:val="00F72207"/>
    <w:rsid w:val="00F73831"/>
    <w:rsid w:val="00F75167"/>
    <w:rsid w:val="00F7588D"/>
    <w:rsid w:val="00F80FC6"/>
    <w:rsid w:val="00F8190F"/>
    <w:rsid w:val="00F83257"/>
    <w:rsid w:val="00F846C8"/>
    <w:rsid w:val="00F8605B"/>
    <w:rsid w:val="00F8785B"/>
    <w:rsid w:val="00F971CF"/>
    <w:rsid w:val="00FA0A9F"/>
    <w:rsid w:val="00FA3246"/>
    <w:rsid w:val="00FA37B1"/>
    <w:rsid w:val="00FA3871"/>
    <w:rsid w:val="00FA5912"/>
    <w:rsid w:val="00FA5EAD"/>
    <w:rsid w:val="00FA614F"/>
    <w:rsid w:val="00FA6B3A"/>
    <w:rsid w:val="00FA7821"/>
    <w:rsid w:val="00FA7D9C"/>
    <w:rsid w:val="00FA7F4E"/>
    <w:rsid w:val="00FB17CD"/>
    <w:rsid w:val="00FB3635"/>
    <w:rsid w:val="00FB3D53"/>
    <w:rsid w:val="00FB43F6"/>
    <w:rsid w:val="00FB4E32"/>
    <w:rsid w:val="00FC19DD"/>
    <w:rsid w:val="00FC1AEC"/>
    <w:rsid w:val="00FC334B"/>
    <w:rsid w:val="00FC4283"/>
    <w:rsid w:val="00FC46CB"/>
    <w:rsid w:val="00FC498B"/>
    <w:rsid w:val="00FC5EFE"/>
    <w:rsid w:val="00FD0366"/>
    <w:rsid w:val="00FD2768"/>
    <w:rsid w:val="00FD429F"/>
    <w:rsid w:val="00FD7815"/>
    <w:rsid w:val="00FE3DBC"/>
    <w:rsid w:val="00FF1356"/>
    <w:rsid w:val="00FF1473"/>
    <w:rsid w:val="00FF2D7A"/>
    <w:rsid w:val="00FF45DA"/>
    <w:rsid w:val="00FF5052"/>
    <w:rsid w:val="00FF6A1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B9DD3-29FB-4986-8040-322EE2B6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0AA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6F2F"/>
    <w:pPr>
      <w:keepNext/>
      <w:keepLines/>
      <w:numPr>
        <w:numId w:val="3"/>
      </w:numPr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D1150"/>
    <w:pPr>
      <w:keepNext/>
      <w:keepLines/>
      <w:numPr>
        <w:numId w:val="2"/>
      </w:num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479F0"/>
    <w:pPr>
      <w:keepNext/>
      <w:keepLines/>
      <w:spacing w:before="200" w:after="0"/>
      <w:outlineLvl w:val="2"/>
    </w:pPr>
    <w:rPr>
      <w:rFonts w:eastAsia="Times New Roman"/>
      <w:b/>
      <w:bCs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0A0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6F2F"/>
    <w:rPr>
      <w:rFonts w:eastAsia="Times New Roman"/>
      <w:b/>
      <w:bCs/>
      <w:color w:val="000000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1150"/>
    <w:rPr>
      <w:rFonts w:eastAsia="Times New Roman"/>
      <w:b/>
      <w:bCs/>
      <w:sz w:val="26"/>
      <w:szCs w:val="26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36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36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363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B363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B363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36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96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D8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liste-markeringsfarve11">
    <w:name w:val="Lys liste - markeringsfarve11"/>
    <w:basedOn w:val="Tabel-Normal"/>
    <w:uiPriority w:val="61"/>
    <w:rsid w:val="00D829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061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1387"/>
  </w:style>
  <w:style w:type="paragraph" w:styleId="Sidefod">
    <w:name w:val="footer"/>
    <w:basedOn w:val="Normal"/>
    <w:link w:val="SidefodTegn"/>
    <w:uiPriority w:val="99"/>
    <w:unhideWhenUsed/>
    <w:rsid w:val="00061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1387"/>
  </w:style>
  <w:style w:type="paragraph" w:styleId="Billedtekst">
    <w:name w:val="caption"/>
    <w:basedOn w:val="Normal"/>
    <w:next w:val="Normal"/>
    <w:autoRedefine/>
    <w:uiPriority w:val="35"/>
    <w:unhideWhenUsed/>
    <w:qFormat/>
    <w:rsid w:val="00487090"/>
    <w:pPr>
      <w:keepNext/>
      <w:spacing w:after="0" w:line="240" w:lineRule="auto"/>
    </w:pPr>
    <w:rPr>
      <w:bCs/>
      <w:color w:val="000000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479F0"/>
    <w:rPr>
      <w:rFonts w:ascii="Calibri" w:eastAsia="Times New Roman" w:hAnsi="Calibri" w:cs="Times New Roman"/>
      <w:b/>
      <w:bCs/>
      <w:color w:val="000000"/>
      <w:sz w:val="24"/>
    </w:rPr>
  </w:style>
  <w:style w:type="paragraph" w:customStyle="1" w:styleId="paragraftekst">
    <w:name w:val="paragraftekst"/>
    <w:basedOn w:val="Normal"/>
    <w:rsid w:val="0026440A"/>
    <w:pPr>
      <w:spacing w:before="24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da-DK"/>
    </w:rPr>
  </w:style>
  <w:style w:type="table" w:customStyle="1" w:styleId="Lystgitter-markeringsfarve11">
    <w:name w:val="Lyst gitter - markeringsfarve 11"/>
    <w:basedOn w:val="Tabel-Normal"/>
    <w:uiPriority w:val="62"/>
    <w:rsid w:val="00FC42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genafstand">
    <w:name w:val="No Spacing"/>
    <w:link w:val="IngenafstandTegn"/>
    <w:uiPriority w:val="1"/>
    <w:qFormat/>
    <w:rsid w:val="00E06A20"/>
    <w:rPr>
      <w:rFonts w:eastAsia="Times New Roman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06A20"/>
    <w:rPr>
      <w:rFonts w:ascii="Calibri" w:eastAsia="Times New Roman" w:hAnsi="Calibri" w:cs="Times New Roman"/>
      <w:sz w:val="22"/>
      <w:szCs w:val="22"/>
      <w:lang w:val="da-DK" w:eastAsia="en-US" w:bidi="ar-SA"/>
    </w:rPr>
  </w:style>
  <w:style w:type="character" w:styleId="Hyperlink">
    <w:name w:val="Hyperlink"/>
    <w:basedOn w:val="Standardskrifttypeiafsnit"/>
    <w:uiPriority w:val="99"/>
    <w:unhideWhenUsed/>
    <w:rsid w:val="00B768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64CC5"/>
    <w:rPr>
      <w:color w:val="800080" w:themeColor="followedHyperlink"/>
      <w:u w:val="single"/>
    </w:rPr>
  </w:style>
  <w:style w:type="paragraph" w:customStyle="1" w:styleId="pind">
    <w:name w:val="pind"/>
    <w:basedOn w:val="Normal"/>
    <w:rsid w:val="0029611F"/>
    <w:pPr>
      <w:spacing w:after="0" w:line="240" w:lineRule="auto"/>
      <w:ind w:left="640" w:hanging="1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soverskrift">
    <w:name w:val="bilagsoverskrift"/>
    <w:basedOn w:val="Normal"/>
    <w:rsid w:val="000E5818"/>
    <w:pPr>
      <w:keepNext/>
      <w:spacing w:before="360" w:after="24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D0325A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628C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628C8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tilbud.tilbudsportalen.dk/Social/Details?globalsearch=true&amp;freetext=ok-huset%20lotte&amp;id=220146&amp;tab=619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F151-9666-40A5-B000-F84C7447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6806</Characters>
  <Application>Microsoft Office Word</Application>
  <DocSecurity>8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kibe03</dc:creator>
  <cp:lastModifiedBy>Neel Sass Petersen</cp:lastModifiedBy>
  <cp:revision>2</cp:revision>
  <cp:lastPrinted>2015-06-01T08:45:00Z</cp:lastPrinted>
  <dcterms:created xsi:type="dcterms:W3CDTF">2019-08-01T09:48:00Z</dcterms:created>
  <dcterms:modified xsi:type="dcterms:W3CDTF">2019-08-01T09:48:00Z</dcterms:modified>
</cp:coreProperties>
</file>